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4F" w:rsidRDefault="00232A4F">
      <w:pPr>
        <w:widowControl/>
        <w:rPr>
          <w:rFonts w:ascii="標楷體" w:eastAsia="標楷體" w:hAnsi="標楷體" w:cs="Times New Roman"/>
        </w:rPr>
      </w:pPr>
    </w:p>
    <w:tbl>
      <w:tblPr>
        <w:tblStyle w:val="a3"/>
        <w:tblW w:w="0" w:type="auto"/>
        <w:tblLook w:val="04A0" w:firstRow="1" w:lastRow="0" w:firstColumn="1" w:lastColumn="0" w:noHBand="0" w:noVBand="1"/>
      </w:tblPr>
      <w:tblGrid>
        <w:gridCol w:w="537"/>
        <w:gridCol w:w="3394"/>
        <w:gridCol w:w="10629"/>
      </w:tblGrid>
      <w:tr w:rsidR="00515949" w:rsidRPr="001850E8" w:rsidTr="005C4E6E">
        <w:trPr>
          <w:tblHeader/>
        </w:trPr>
        <w:tc>
          <w:tcPr>
            <w:tcW w:w="537" w:type="dxa"/>
            <w:vAlign w:val="center"/>
          </w:tcPr>
          <w:p w:rsidR="00515949" w:rsidRPr="00123012" w:rsidRDefault="00515949" w:rsidP="004E6D7D">
            <w:pPr>
              <w:snapToGrid w:val="0"/>
              <w:spacing w:line="0" w:lineRule="atLeast"/>
              <w:rPr>
                <w:rFonts w:ascii="標楷體" w:eastAsia="標楷體" w:hAnsi="標楷體" w:cs="Times New Roman"/>
                <w:b/>
                <w:sz w:val="32"/>
                <w:szCs w:val="32"/>
              </w:rPr>
            </w:pPr>
            <w:bookmarkStart w:id="0" w:name="_GoBack"/>
            <w:bookmarkEnd w:id="0"/>
            <w:r w:rsidRPr="00123012">
              <w:rPr>
                <w:rFonts w:ascii="標楷體" w:eastAsia="標楷體" w:hAnsi="標楷體" w:cs="Times New Roman"/>
                <w:b/>
                <w:sz w:val="32"/>
                <w:szCs w:val="32"/>
              </w:rPr>
              <w:t>號</w:t>
            </w:r>
          </w:p>
        </w:tc>
        <w:tc>
          <w:tcPr>
            <w:tcW w:w="3394" w:type="dxa"/>
            <w:vAlign w:val="center"/>
          </w:tcPr>
          <w:p w:rsidR="00515949" w:rsidRPr="001850E8" w:rsidRDefault="00515949" w:rsidP="004E6D7D">
            <w:pPr>
              <w:snapToGrid w:val="0"/>
              <w:spacing w:line="0" w:lineRule="atLeast"/>
              <w:jc w:val="center"/>
              <w:rPr>
                <w:rFonts w:ascii="標楷體" w:eastAsia="標楷體" w:hAnsi="標楷體" w:cs="Times New Roman"/>
                <w:b/>
                <w:sz w:val="32"/>
                <w:szCs w:val="32"/>
              </w:rPr>
            </w:pPr>
            <w:r w:rsidRPr="001850E8">
              <w:rPr>
                <w:rFonts w:ascii="標楷體" w:eastAsia="標楷體" w:hAnsi="標楷體" w:cs="Times New Roman"/>
                <w:b/>
                <w:sz w:val="32"/>
                <w:szCs w:val="32"/>
              </w:rPr>
              <w:t>項目名稱</w:t>
            </w:r>
          </w:p>
        </w:tc>
        <w:tc>
          <w:tcPr>
            <w:tcW w:w="10629" w:type="dxa"/>
            <w:vAlign w:val="center"/>
          </w:tcPr>
          <w:p w:rsidR="00515949" w:rsidRPr="001850E8" w:rsidRDefault="00515949" w:rsidP="004E6D7D">
            <w:pPr>
              <w:snapToGrid w:val="0"/>
              <w:spacing w:line="0" w:lineRule="atLeast"/>
              <w:jc w:val="center"/>
              <w:rPr>
                <w:rFonts w:ascii="標楷體" w:eastAsia="標楷體" w:hAnsi="標楷體" w:cs="Times New Roman"/>
                <w:b/>
                <w:sz w:val="32"/>
                <w:szCs w:val="32"/>
              </w:rPr>
            </w:pPr>
            <w:r w:rsidRPr="001850E8">
              <w:rPr>
                <w:rFonts w:ascii="標楷體" w:eastAsia="標楷體" w:hAnsi="標楷體" w:cs="Times New Roman" w:hint="eastAsia"/>
                <w:b/>
                <w:sz w:val="32"/>
                <w:szCs w:val="32"/>
              </w:rPr>
              <w:t>1</w:t>
            </w:r>
            <w:r w:rsidRPr="001850E8">
              <w:rPr>
                <w:rFonts w:ascii="標楷體" w:eastAsia="標楷體" w:hAnsi="標楷體" w:cs="Times New Roman"/>
                <w:b/>
                <w:sz w:val="32"/>
                <w:szCs w:val="32"/>
              </w:rPr>
              <w:t>10</w:t>
            </w:r>
            <w:r w:rsidRPr="001850E8">
              <w:rPr>
                <w:rFonts w:ascii="標楷體" w:eastAsia="標楷體" w:hAnsi="標楷體" w:cs="Times New Roman" w:hint="eastAsia"/>
                <w:b/>
                <w:sz w:val="32"/>
                <w:szCs w:val="32"/>
              </w:rPr>
              <w:t>年</w:t>
            </w:r>
            <w:r w:rsidRPr="001850E8">
              <w:rPr>
                <w:rFonts w:ascii="標楷體" w:eastAsia="標楷體" w:hAnsi="標楷體" w:cs="Times New Roman"/>
                <w:b/>
                <w:sz w:val="32"/>
                <w:szCs w:val="32"/>
              </w:rPr>
              <w:t>政</w:t>
            </w:r>
            <w:r w:rsidRPr="001850E8">
              <w:rPr>
                <w:rFonts w:ascii="標楷體" w:eastAsia="標楷體" w:hAnsi="標楷體" w:cs="Times New Roman" w:hint="eastAsia"/>
                <w:b/>
                <w:sz w:val="32"/>
                <w:szCs w:val="32"/>
              </w:rPr>
              <w:t>策</w:t>
            </w:r>
            <w:r w:rsidRPr="001850E8">
              <w:rPr>
                <w:rFonts w:ascii="標楷體" w:eastAsia="標楷體" w:hAnsi="標楷體" w:cs="Times New Roman"/>
                <w:b/>
                <w:sz w:val="32"/>
                <w:szCs w:val="32"/>
              </w:rPr>
              <w:t>推動方向</w:t>
            </w:r>
          </w:p>
        </w:tc>
      </w:tr>
      <w:tr w:rsidR="00515949" w:rsidRPr="001850E8"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精進採購評選委員機制，營造公平競爭環境</w:t>
            </w:r>
          </w:p>
        </w:tc>
        <w:tc>
          <w:tcPr>
            <w:tcW w:w="10629" w:type="dxa"/>
          </w:tcPr>
          <w:p w:rsidR="00515949" w:rsidRDefault="00515949" w:rsidP="004E6D7D">
            <w:pPr>
              <w:snapToGrid w:val="0"/>
              <w:spacing w:line="0" w:lineRule="atLeast"/>
              <w:jc w:val="both"/>
              <w:rPr>
                <w:rFonts w:ascii="標楷體" w:eastAsia="標楷體" w:hAnsi="標楷體" w:cs="Times New Roman"/>
                <w:sz w:val="28"/>
                <w:szCs w:val="28"/>
              </w:rPr>
            </w:pPr>
            <w:r w:rsidRPr="003E1087">
              <w:rPr>
                <w:rFonts w:ascii="標楷體" w:eastAsia="標楷體" w:hAnsi="標楷體" w:cs="Times New Roman" w:hint="eastAsia"/>
                <w:b/>
                <w:sz w:val="28"/>
                <w:szCs w:val="28"/>
              </w:rPr>
              <w:t>推動採購評選委員會組織準則及審議規則之修法作業</w:t>
            </w:r>
            <w:r w:rsidRPr="003E1087">
              <w:rPr>
                <w:rFonts w:ascii="標楷體" w:eastAsia="標楷體" w:hAnsi="標楷體" w:cs="Times New Roman" w:hint="eastAsia"/>
                <w:sz w:val="28"/>
                <w:szCs w:val="28"/>
              </w:rPr>
              <w:t>：</w:t>
            </w:r>
          </w:p>
          <w:p w:rsidR="00515949" w:rsidRPr="003E1087" w:rsidRDefault="00515949" w:rsidP="004E6D7D">
            <w:pPr>
              <w:snapToGrid w:val="0"/>
              <w:spacing w:line="0" w:lineRule="atLeast"/>
              <w:jc w:val="both"/>
              <w:rPr>
                <w:rFonts w:ascii="標楷體" w:eastAsia="標楷體" w:hAnsi="標楷體" w:cs="Times New Roman"/>
                <w:sz w:val="28"/>
                <w:szCs w:val="28"/>
              </w:rPr>
            </w:pPr>
            <w:r w:rsidRPr="003E1087">
              <w:rPr>
                <w:rFonts w:ascii="標楷體" w:eastAsia="標楷體" w:hAnsi="標楷體" w:cs="Times New Roman" w:hint="eastAsia"/>
                <w:sz w:val="28"/>
                <w:szCs w:val="28"/>
              </w:rPr>
              <w:t>強化機關應負採購評選之責任，精進政府採購評選委員與受評廠商之利益衝突迴避規定</w:t>
            </w:r>
            <w:r>
              <w:rPr>
                <w:rFonts w:ascii="標楷體" w:eastAsia="標楷體" w:hAnsi="標楷體" w:cs="Times New Roman" w:hint="eastAsia"/>
                <w:sz w:val="28"/>
                <w:szCs w:val="28"/>
              </w:rPr>
              <w:t>，</w:t>
            </w:r>
            <w:r w:rsidRPr="003E1087">
              <w:rPr>
                <w:rFonts w:ascii="標楷體" w:eastAsia="標楷體" w:hAnsi="標楷體" w:cs="Times New Roman" w:hint="eastAsia"/>
                <w:sz w:val="28"/>
                <w:szCs w:val="28"/>
              </w:rPr>
              <w:t>允許投標廠商提出對應機關需求核實價格之機會，使機關有機會檢討後，再進入評選階段。</w:t>
            </w:r>
          </w:p>
        </w:tc>
      </w:tr>
      <w:tr w:rsidR="00515949" w:rsidRPr="001850E8"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Pr>
                <w:rFonts w:ascii="標楷體" w:eastAsia="標楷體" w:hAnsi="標楷體" w:cs="Times New Roman" w:hint="eastAsia"/>
                <w:b/>
                <w:sz w:val="28"/>
                <w:szCs w:val="28"/>
              </w:rPr>
              <w:t>推動多元</w:t>
            </w:r>
            <w:r w:rsidRPr="00174337">
              <w:rPr>
                <w:rFonts w:ascii="標楷體" w:eastAsia="標楷體" w:hAnsi="標楷體" w:cs="Times New Roman" w:hint="eastAsia"/>
                <w:b/>
                <w:sz w:val="28"/>
                <w:szCs w:val="28"/>
              </w:rPr>
              <w:t>履約爭議處理機制，加速爭議處理</w:t>
            </w:r>
          </w:p>
        </w:tc>
        <w:tc>
          <w:tcPr>
            <w:tcW w:w="10629" w:type="dxa"/>
          </w:tcPr>
          <w:p w:rsidR="00515949" w:rsidRDefault="00515949" w:rsidP="004E6D7D">
            <w:pPr>
              <w:snapToGrid w:val="0"/>
              <w:spacing w:line="0" w:lineRule="atLeast"/>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加強宣導多元之爭議處理機制</w:t>
            </w:r>
            <w:r w:rsidRPr="00DB3A74">
              <w:rPr>
                <w:rFonts w:ascii="標楷體" w:eastAsia="標楷體" w:hAnsi="標楷體" w:cs="Times New Roman" w:hint="eastAsia"/>
                <w:sz w:val="28"/>
                <w:szCs w:val="28"/>
              </w:rPr>
              <w:t>：</w:t>
            </w:r>
          </w:p>
          <w:p w:rsidR="00515949" w:rsidRPr="00DB3A74" w:rsidRDefault="00515949" w:rsidP="004E6D7D">
            <w:pPr>
              <w:snapToGrid w:val="0"/>
              <w:spacing w:line="0" w:lineRule="atLeast"/>
              <w:jc w:val="both"/>
              <w:rPr>
                <w:rFonts w:ascii="標楷體" w:eastAsia="標楷體" w:hAnsi="標楷體" w:cs="Times New Roman"/>
                <w:sz w:val="28"/>
                <w:szCs w:val="28"/>
              </w:rPr>
            </w:pPr>
            <w:r w:rsidRPr="00DB3A74">
              <w:rPr>
                <w:rFonts w:ascii="標楷體" w:eastAsia="標楷體" w:hAnsi="標楷體" w:cs="Times New Roman" w:hint="eastAsia"/>
                <w:sz w:val="28"/>
                <w:szCs w:val="28"/>
              </w:rPr>
              <w:t>透過公共建設諮詢機制、機關成立採購工作及審查小組制度及契約雙方合意成立爭議處理小組，藉由機關內部機制快速解決爭執及解讀歧異，以利機關與廠商瞭解。</w:t>
            </w:r>
          </w:p>
        </w:tc>
      </w:tr>
      <w:tr w:rsidR="00515949" w:rsidRPr="001850E8"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精進技術服務費用合理化</w:t>
            </w:r>
          </w:p>
        </w:tc>
        <w:tc>
          <w:tcPr>
            <w:tcW w:w="10629" w:type="dxa"/>
          </w:tcPr>
          <w:p w:rsidR="00515949" w:rsidRDefault="00515949" w:rsidP="004E6D7D">
            <w:pPr>
              <w:snapToGrid w:val="0"/>
              <w:spacing w:line="0" w:lineRule="atLeast"/>
              <w:jc w:val="both"/>
              <w:rPr>
                <w:rFonts w:ascii="標楷體" w:eastAsia="標楷體" w:hAnsi="標楷體" w:cs="Times New Roman"/>
                <w:sz w:val="28"/>
                <w:szCs w:val="28"/>
              </w:rPr>
            </w:pPr>
            <w:r w:rsidRPr="001C24C9">
              <w:rPr>
                <w:rFonts w:ascii="標楷體" w:eastAsia="標楷體" w:hAnsi="標楷體" w:cs="Times New Roman" w:hint="eastAsia"/>
                <w:b/>
                <w:sz w:val="28"/>
                <w:szCs w:val="28"/>
                <w:lang w:eastAsia="zh-HK"/>
              </w:rPr>
              <w:t>適</w:t>
            </w:r>
            <w:r w:rsidRPr="001C24C9">
              <w:rPr>
                <w:rFonts w:ascii="標楷體" w:eastAsia="標楷體" w:hAnsi="標楷體" w:cs="Times New Roman" w:hint="eastAsia"/>
                <w:b/>
                <w:sz w:val="28"/>
                <w:szCs w:val="28"/>
              </w:rPr>
              <w:t>時修正技服辦法及採購契約範本</w:t>
            </w:r>
            <w:r>
              <w:rPr>
                <w:rFonts w:ascii="標楷體" w:eastAsia="標楷體" w:hAnsi="標楷體" w:cs="Times New Roman" w:hint="eastAsia"/>
                <w:sz w:val="28"/>
                <w:szCs w:val="28"/>
              </w:rPr>
              <w:t>：</w:t>
            </w:r>
          </w:p>
          <w:p w:rsidR="00515949" w:rsidRPr="006C21FE" w:rsidRDefault="00515949" w:rsidP="004E6D7D">
            <w:pPr>
              <w:snapToGrid w:val="0"/>
              <w:spacing w:line="0" w:lineRule="atLeast"/>
              <w:jc w:val="both"/>
              <w:rPr>
                <w:rFonts w:ascii="標楷體" w:eastAsia="標楷體" w:hAnsi="標楷體" w:cs="Times New Roman"/>
                <w:sz w:val="28"/>
                <w:szCs w:val="28"/>
              </w:rPr>
            </w:pPr>
            <w:r w:rsidRPr="006C21FE">
              <w:rPr>
                <w:rFonts w:ascii="標楷體" w:eastAsia="標楷體" w:hAnsi="標楷體" w:cs="Times New Roman" w:hint="eastAsia"/>
                <w:sz w:val="28"/>
                <w:szCs w:val="28"/>
              </w:rPr>
              <w:t>針對技服辦法之計費方式如何適用於不同工程類型，額外工作應如何計費等更精緻化規定</w:t>
            </w:r>
            <w:r>
              <w:rPr>
                <w:rFonts w:ascii="標楷體" w:eastAsia="標楷體" w:hAnsi="標楷體" w:cs="Times New Roman" w:hint="eastAsia"/>
                <w:sz w:val="28"/>
                <w:szCs w:val="28"/>
              </w:rPr>
              <w:t>，</w:t>
            </w:r>
            <w:r w:rsidRPr="006C21FE">
              <w:rPr>
                <w:rFonts w:ascii="標楷體" w:eastAsia="標楷體" w:hAnsi="標楷體" w:cs="Times New Roman" w:hint="eastAsia"/>
                <w:sz w:val="28"/>
                <w:szCs w:val="28"/>
              </w:rPr>
              <w:t>持續與產官學研討論並</w:t>
            </w:r>
            <w:r>
              <w:rPr>
                <w:rFonts w:ascii="標楷體" w:eastAsia="標楷體" w:hAnsi="標楷體" w:cs="Times New Roman" w:hint="eastAsia"/>
                <w:sz w:val="28"/>
                <w:szCs w:val="28"/>
                <w:lang w:eastAsia="zh-HK"/>
              </w:rPr>
              <w:t>適</w:t>
            </w:r>
            <w:r w:rsidRPr="006C21FE">
              <w:rPr>
                <w:rFonts w:ascii="標楷體" w:eastAsia="標楷體" w:hAnsi="標楷體" w:cs="Times New Roman" w:hint="eastAsia"/>
                <w:sz w:val="28"/>
                <w:szCs w:val="28"/>
              </w:rPr>
              <w:t>時修正技服辦法及採購契約範本。</w:t>
            </w:r>
          </w:p>
        </w:tc>
      </w:tr>
      <w:tr w:rsidR="00515949" w:rsidRPr="001850E8"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強化生態檢核機制</w:t>
            </w:r>
          </w:p>
        </w:tc>
        <w:tc>
          <w:tcPr>
            <w:tcW w:w="10629" w:type="dxa"/>
          </w:tcPr>
          <w:p w:rsidR="00515949" w:rsidRDefault="00515949" w:rsidP="004E6D7D">
            <w:pPr>
              <w:tabs>
                <w:tab w:val="left" w:pos="376"/>
                <w:tab w:val="left" w:pos="431"/>
              </w:tabs>
              <w:snapToGrid w:val="0"/>
              <w:spacing w:line="0" w:lineRule="atLeast"/>
              <w:ind w:left="5"/>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從源頭引導建構更完整之生態檢核機制</w:t>
            </w:r>
            <w:r w:rsidRPr="00DB3A74">
              <w:rPr>
                <w:rFonts w:ascii="標楷體" w:eastAsia="標楷體" w:hAnsi="標楷體" w:cs="Times New Roman" w:hint="eastAsia"/>
                <w:sz w:val="28"/>
                <w:szCs w:val="28"/>
              </w:rPr>
              <w:t>：</w:t>
            </w:r>
          </w:p>
          <w:p w:rsidR="00515949" w:rsidRPr="00DB3A74" w:rsidRDefault="00515949" w:rsidP="004E6D7D">
            <w:pPr>
              <w:tabs>
                <w:tab w:val="left" w:pos="376"/>
                <w:tab w:val="left" w:pos="431"/>
              </w:tabs>
              <w:snapToGrid w:val="0"/>
              <w:spacing w:line="0" w:lineRule="atLeast"/>
              <w:ind w:left="5"/>
              <w:jc w:val="both"/>
              <w:rPr>
                <w:rFonts w:ascii="標楷體" w:eastAsia="標楷體" w:hAnsi="標楷體" w:cs="Times New Roman"/>
                <w:sz w:val="28"/>
                <w:szCs w:val="28"/>
              </w:rPr>
            </w:pPr>
            <w:r w:rsidRPr="00DB3A74">
              <w:rPr>
                <w:rFonts w:ascii="標楷體" w:eastAsia="標楷體" w:hAnsi="標楷體" w:cs="Times New Roman" w:hint="eastAsia"/>
                <w:sz w:val="28"/>
                <w:szCs w:val="28"/>
              </w:rPr>
              <w:t>「公共工程生態檢核注意事項」</w:t>
            </w:r>
            <w:r>
              <w:rPr>
                <w:rFonts w:ascii="標楷體" w:eastAsia="標楷體" w:hAnsi="標楷體" w:cs="Times New Roman" w:hint="eastAsia"/>
                <w:sz w:val="28"/>
                <w:szCs w:val="28"/>
              </w:rPr>
              <w:t>已</w:t>
            </w:r>
            <w:r w:rsidRPr="00DB3A74">
              <w:rPr>
                <w:rFonts w:ascii="標楷體" w:eastAsia="標楷體" w:hAnsi="標楷體" w:cs="Times New Roman" w:hint="eastAsia"/>
                <w:sz w:val="28"/>
                <w:szCs w:val="28"/>
              </w:rPr>
              <w:t>要求</w:t>
            </w:r>
            <w:r>
              <w:rPr>
                <w:rFonts w:ascii="標楷體" w:eastAsia="標楷體" w:hAnsi="標楷體" w:cs="Times New Roman" w:hint="eastAsia"/>
                <w:sz w:val="28"/>
                <w:szCs w:val="28"/>
              </w:rPr>
              <w:t>機關於</w:t>
            </w:r>
            <w:r w:rsidRPr="00DB3A74">
              <w:rPr>
                <w:rFonts w:ascii="標楷體" w:eastAsia="標楷體" w:hAnsi="標楷體" w:cs="Times New Roman" w:hint="eastAsia"/>
                <w:sz w:val="28"/>
                <w:szCs w:val="28"/>
              </w:rPr>
              <w:t>工程全生命週期各階段均應落實辦理，110年研議強化生態檢核涉及</w:t>
            </w:r>
            <w:r>
              <w:rPr>
                <w:rFonts w:ascii="標楷體" w:eastAsia="標楷體" w:hAnsi="標楷體" w:cs="Times New Roman" w:hint="eastAsia"/>
                <w:sz w:val="28"/>
                <w:szCs w:val="28"/>
              </w:rPr>
              <w:t>之</w:t>
            </w:r>
            <w:r w:rsidRPr="00DB3A74">
              <w:rPr>
                <w:rFonts w:ascii="標楷體" w:eastAsia="標楷體" w:hAnsi="標楷體" w:cs="Times New Roman" w:hint="eastAsia"/>
                <w:sz w:val="28"/>
                <w:szCs w:val="28"/>
              </w:rPr>
              <w:t>生態調查及監測作業，以減輕公共工程對生態環境造成之負面影響。</w:t>
            </w:r>
          </w:p>
        </w:tc>
      </w:tr>
      <w:tr w:rsidR="00515949" w:rsidRPr="004074DA"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持續協助於公共工程運用再生粒料</w:t>
            </w:r>
          </w:p>
        </w:tc>
        <w:tc>
          <w:tcPr>
            <w:tcW w:w="10629" w:type="dxa"/>
          </w:tcPr>
          <w:p w:rsidR="00515949" w:rsidRDefault="00515949" w:rsidP="004E6D7D">
            <w:pPr>
              <w:tabs>
                <w:tab w:val="left" w:pos="376"/>
                <w:tab w:val="left" w:pos="431"/>
              </w:tabs>
              <w:snapToGrid w:val="0"/>
              <w:spacing w:line="0" w:lineRule="atLeast"/>
              <w:jc w:val="both"/>
              <w:rPr>
                <w:rFonts w:ascii="標楷體" w:eastAsia="標楷體" w:hAnsi="標楷體" w:cs="Times New Roman"/>
                <w:sz w:val="28"/>
                <w:szCs w:val="28"/>
              </w:rPr>
            </w:pPr>
            <w:r w:rsidRPr="004C0998">
              <w:rPr>
                <w:rFonts w:ascii="標楷體" w:eastAsia="標楷體" w:hAnsi="標楷體" w:cs="Times New Roman" w:hint="eastAsia"/>
                <w:b/>
                <w:sz w:val="28"/>
                <w:szCs w:val="28"/>
              </w:rPr>
              <w:t>順利去化</w:t>
            </w:r>
            <w:r>
              <w:rPr>
                <w:rFonts w:ascii="標楷體" w:eastAsia="標楷體" w:hAnsi="標楷體" w:cs="Times New Roman" w:hint="eastAsia"/>
                <w:b/>
                <w:sz w:val="28"/>
                <w:szCs w:val="28"/>
              </w:rPr>
              <w:t>每年產出之焚化再生粒料、轉爐石及</w:t>
            </w:r>
            <w:r w:rsidRPr="004C0998">
              <w:rPr>
                <w:rFonts w:ascii="標楷體" w:eastAsia="標楷體" w:hAnsi="標楷體" w:cs="Times New Roman" w:hint="eastAsia"/>
                <w:b/>
                <w:sz w:val="28"/>
                <w:szCs w:val="28"/>
              </w:rPr>
              <w:t>氧化碴</w:t>
            </w:r>
            <w:r>
              <w:rPr>
                <w:rFonts w:ascii="標楷體" w:eastAsia="標楷體" w:hAnsi="標楷體" w:cs="Times New Roman" w:hint="eastAsia"/>
                <w:sz w:val="28"/>
                <w:szCs w:val="28"/>
              </w:rPr>
              <w:t>：</w:t>
            </w:r>
          </w:p>
          <w:p w:rsidR="00515949" w:rsidRPr="00E64B72" w:rsidRDefault="00515949" w:rsidP="004E6D7D">
            <w:pPr>
              <w:tabs>
                <w:tab w:val="left" w:pos="376"/>
                <w:tab w:val="left" w:pos="431"/>
              </w:tabs>
              <w:snapToGrid w:val="0"/>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焚化再生粒料之去化</w:t>
            </w:r>
            <w:r w:rsidRPr="00E64B72">
              <w:rPr>
                <w:rFonts w:ascii="標楷體" w:eastAsia="標楷體" w:hAnsi="標楷體" w:cs="Times New Roman" w:hint="eastAsia"/>
                <w:sz w:val="28"/>
                <w:szCs w:val="28"/>
              </w:rPr>
              <w:t>屬地方政府權責，如縣市政府未能順利去化，將由本會會同環保署啟動中央協處機制；而轉爐石及氧化碴依目前規劃</w:t>
            </w:r>
            <w:r>
              <w:rPr>
                <w:rFonts w:ascii="標楷體" w:eastAsia="標楷體" w:hAnsi="標楷體" w:cs="Times New Roman" w:hint="eastAsia"/>
                <w:sz w:val="28"/>
                <w:szCs w:val="28"/>
              </w:rPr>
              <w:t>，推估未來使用量皆大於產生量，惟仍需持續掌握去化情形，確保依規劃</w:t>
            </w:r>
            <w:r w:rsidRPr="00E64B72">
              <w:rPr>
                <w:rFonts w:ascii="標楷體" w:eastAsia="標楷體" w:hAnsi="標楷體" w:cs="Times New Roman" w:hint="eastAsia"/>
                <w:sz w:val="28"/>
                <w:szCs w:val="28"/>
              </w:rPr>
              <w:t>執行，必要時予以協助</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預計</w:t>
            </w:r>
            <w:r w:rsidRPr="00E64B72">
              <w:rPr>
                <w:rFonts w:ascii="標楷體" w:eastAsia="標楷體" w:hAnsi="標楷體" w:cs="Times New Roman" w:hint="eastAsia"/>
                <w:sz w:val="28"/>
                <w:szCs w:val="28"/>
              </w:rPr>
              <w:t>辦理跨部會推動小組會議4場次，協助焚化再生粒料、轉爐石、氧化碴每年產出</w:t>
            </w:r>
            <w:r>
              <w:rPr>
                <w:rFonts w:ascii="標楷體" w:eastAsia="標楷體" w:hAnsi="標楷體" w:cs="Times New Roman" w:hint="eastAsia"/>
                <w:sz w:val="28"/>
                <w:szCs w:val="28"/>
              </w:rPr>
              <w:t>量</w:t>
            </w:r>
            <w:r w:rsidRPr="00E64B72">
              <w:rPr>
                <w:rFonts w:ascii="標楷體" w:eastAsia="標楷體" w:hAnsi="標楷體" w:cs="Times New Roman" w:hint="eastAsia"/>
                <w:sz w:val="28"/>
                <w:szCs w:val="28"/>
              </w:rPr>
              <w:t>可順利去化。</w:t>
            </w:r>
          </w:p>
        </w:tc>
      </w:tr>
      <w:tr w:rsidR="00515949" w:rsidRPr="004074DA" w:rsidTr="005C4E6E">
        <w:trPr>
          <w:trHeight w:val="177"/>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Pr>
                <w:rFonts w:ascii="標楷體" w:eastAsia="標楷體" w:hAnsi="標楷體" w:cs="Times New Roman" w:hint="eastAsia"/>
                <w:b/>
                <w:sz w:val="28"/>
                <w:szCs w:val="28"/>
              </w:rPr>
              <w:t>提升工程</w:t>
            </w:r>
            <w:r w:rsidRPr="00174337">
              <w:rPr>
                <w:rFonts w:ascii="標楷體" w:eastAsia="標楷體" w:hAnsi="標楷體" w:cs="Times New Roman" w:hint="eastAsia"/>
                <w:b/>
                <w:sz w:val="28"/>
                <w:szCs w:val="28"/>
              </w:rPr>
              <w:t>產業競爭力，適時與國際接軌</w:t>
            </w:r>
          </w:p>
        </w:tc>
        <w:tc>
          <w:tcPr>
            <w:tcW w:w="10629" w:type="dxa"/>
          </w:tcPr>
          <w:p w:rsidR="00515949" w:rsidRDefault="00515949" w:rsidP="004E6D7D">
            <w:pPr>
              <w:tabs>
                <w:tab w:val="left" w:pos="376"/>
                <w:tab w:val="left" w:pos="431"/>
              </w:tabs>
              <w:snapToGrid w:val="0"/>
              <w:spacing w:line="0" w:lineRule="atLeast"/>
              <w:jc w:val="both"/>
              <w:rPr>
                <w:rFonts w:ascii="Times New Roman" w:eastAsia="標楷體" w:hAnsi="Times New Roman"/>
                <w:color w:val="000000"/>
                <w:sz w:val="28"/>
                <w:szCs w:val="28"/>
              </w:rPr>
            </w:pPr>
            <w:r w:rsidRPr="004C0998">
              <w:rPr>
                <w:rFonts w:ascii="Times New Roman" w:eastAsia="標楷體" w:hAnsi="Times New Roman" w:hint="eastAsia"/>
                <w:b/>
                <w:color w:val="000000"/>
                <w:sz w:val="28"/>
                <w:szCs w:val="28"/>
              </w:rPr>
              <w:t>調整產業體質，強化工程產業人力資源</w:t>
            </w:r>
            <w:r>
              <w:rPr>
                <w:rFonts w:ascii="Times New Roman" w:eastAsia="標楷體" w:hAnsi="Times New Roman" w:hint="eastAsia"/>
                <w:color w:val="000000"/>
                <w:sz w:val="28"/>
                <w:szCs w:val="28"/>
              </w:rPr>
              <w:t>：</w:t>
            </w:r>
          </w:p>
          <w:p w:rsidR="00515949" w:rsidRPr="00447468" w:rsidRDefault="00515949" w:rsidP="004E6D7D">
            <w:pPr>
              <w:tabs>
                <w:tab w:val="left" w:pos="376"/>
                <w:tab w:val="left" w:pos="431"/>
              </w:tabs>
              <w:snapToGrid w:val="0"/>
              <w:spacing w:line="0" w:lineRule="atLeast"/>
              <w:jc w:val="both"/>
              <w:rPr>
                <w:rFonts w:ascii="標楷體" w:eastAsia="標楷體" w:hAnsi="標楷體" w:cs="Times New Roman"/>
                <w:sz w:val="28"/>
                <w:szCs w:val="28"/>
              </w:rPr>
            </w:pPr>
            <w:r w:rsidRPr="004074DA">
              <w:rPr>
                <w:rFonts w:ascii="Times New Roman" w:eastAsia="標楷體" w:hAnsi="Times New Roman" w:hint="eastAsia"/>
                <w:color w:val="000000"/>
                <w:sz w:val="28"/>
                <w:szCs w:val="28"/>
              </w:rPr>
              <w:t>考量目前</w:t>
            </w:r>
            <w:r w:rsidRPr="004074DA">
              <w:rPr>
                <w:rFonts w:ascii="Times New Roman" w:eastAsia="標楷體" w:hAnsi="Times New Roman" w:hint="eastAsia"/>
                <w:color w:val="000000"/>
                <w:sz w:val="28"/>
                <w:szCs w:val="28"/>
              </w:rPr>
              <w:t>COVID-19</w:t>
            </w:r>
            <w:r w:rsidRPr="004074DA">
              <w:rPr>
                <w:rFonts w:ascii="Times New Roman" w:eastAsia="標楷體" w:hAnsi="Times New Roman" w:hint="eastAsia"/>
                <w:color w:val="000000"/>
                <w:sz w:val="28"/>
                <w:szCs w:val="28"/>
              </w:rPr>
              <w:t>疫情前景不明，各</w:t>
            </w:r>
            <w:r>
              <w:rPr>
                <w:rFonts w:ascii="Times New Roman" w:eastAsia="標楷體" w:hAnsi="Times New Roman" w:hint="eastAsia"/>
                <w:color w:val="000000"/>
                <w:sz w:val="28"/>
                <w:szCs w:val="28"/>
              </w:rPr>
              <w:t>國政府及國際組織推案仍暫緩，且短期內各國尚無解除邊境管制跡象，</w:t>
            </w:r>
            <w:r w:rsidRPr="004074DA">
              <w:rPr>
                <w:rFonts w:ascii="Times New Roman" w:eastAsia="標楷體" w:hAnsi="Times New Roman" w:hint="eastAsia"/>
                <w:color w:val="000000"/>
                <w:sz w:val="28"/>
                <w:szCs w:val="28"/>
              </w:rPr>
              <w:t>為減少疫情對工</w:t>
            </w:r>
            <w:r>
              <w:rPr>
                <w:rFonts w:ascii="Times New Roman" w:eastAsia="標楷體" w:hAnsi="Times New Roman" w:hint="eastAsia"/>
                <w:color w:val="000000"/>
                <w:sz w:val="28"/>
                <w:szCs w:val="28"/>
              </w:rPr>
              <w:t>程</w:t>
            </w:r>
            <w:r w:rsidRPr="004074DA">
              <w:rPr>
                <w:rFonts w:ascii="Times New Roman" w:eastAsia="標楷體" w:hAnsi="Times New Roman" w:hint="eastAsia"/>
                <w:color w:val="000000"/>
                <w:sz w:val="28"/>
                <w:szCs w:val="28"/>
              </w:rPr>
              <w:t>產業海外輸出之衝擊影響，</w:t>
            </w:r>
            <w:r w:rsidRPr="004074DA">
              <w:rPr>
                <w:rFonts w:ascii="標楷體" w:eastAsia="標楷體" w:hAnsi="標楷體" w:cs="Times New Roman" w:hint="eastAsia"/>
                <w:sz w:val="28"/>
                <w:szCs w:val="28"/>
              </w:rPr>
              <w:t>110</w:t>
            </w:r>
            <w:r>
              <w:rPr>
                <w:rFonts w:ascii="標楷體" w:eastAsia="標楷體" w:hAnsi="標楷體" w:cs="Times New Roman" w:hint="eastAsia"/>
                <w:sz w:val="28"/>
                <w:szCs w:val="28"/>
              </w:rPr>
              <w:t>年度規劃進一步調整產業體質，強化工程產業人力資源。除</w:t>
            </w:r>
            <w:r w:rsidRPr="004074DA">
              <w:rPr>
                <w:rFonts w:ascii="標楷體" w:eastAsia="標楷體" w:hAnsi="標楷體" w:cs="Times New Roman" w:hint="eastAsia"/>
                <w:sz w:val="28"/>
                <w:szCs w:val="28"/>
              </w:rPr>
              <w:t>持續辦理工程產業全球化人才實務培訓班及相關座談會、講座、發表會或說明會</w:t>
            </w:r>
            <w:r>
              <w:rPr>
                <w:rFonts w:ascii="Times New Roman" w:eastAsia="標楷體" w:hAnsi="Times New Roman" w:hint="eastAsia"/>
                <w:color w:val="000000"/>
                <w:sz w:val="28"/>
                <w:szCs w:val="28"/>
              </w:rPr>
              <w:t>外，另由六大工程輸出團隊主管部會針對</w:t>
            </w:r>
            <w:r>
              <w:rPr>
                <w:rFonts w:ascii="Times New Roman" w:eastAsia="標楷體" w:hAnsi="Times New Roman" w:hint="eastAsia"/>
                <w:color w:val="000000"/>
                <w:sz w:val="28"/>
                <w:szCs w:val="28"/>
              </w:rPr>
              <w:lastRenderedPageBreak/>
              <w:t>權管專業領域</w:t>
            </w:r>
            <w:r w:rsidRPr="004074DA">
              <w:rPr>
                <w:rFonts w:ascii="Times New Roman" w:eastAsia="標楷體" w:hAnsi="Times New Roman" w:hint="eastAsia"/>
                <w:color w:val="000000"/>
                <w:sz w:val="28"/>
                <w:szCs w:val="28"/>
              </w:rPr>
              <w:t>辦理上開類似活動，協助我國工程業者提升競爭力</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110</w:t>
            </w:r>
            <w:r>
              <w:rPr>
                <w:rFonts w:ascii="Times New Roman" w:eastAsia="標楷體" w:hAnsi="Times New Roman" w:hint="eastAsia"/>
                <w:color w:val="000000"/>
                <w:sz w:val="28"/>
                <w:szCs w:val="28"/>
              </w:rPr>
              <w:t>年度</w:t>
            </w:r>
            <w:r>
              <w:rPr>
                <w:rFonts w:ascii="Times New Roman" w:eastAsia="標楷體" w:hAnsi="Times New Roman" w:hint="eastAsia"/>
                <w:color w:val="000000"/>
                <w:sz w:val="28"/>
                <w:szCs w:val="28"/>
                <w:lang w:eastAsia="zh-HK"/>
              </w:rPr>
              <w:t>預計</w:t>
            </w:r>
            <w:r w:rsidRPr="004074DA">
              <w:rPr>
                <w:rFonts w:ascii="Times New Roman" w:eastAsia="標楷體" w:hAnsi="Times New Roman" w:hint="eastAsia"/>
                <w:color w:val="000000"/>
                <w:sz w:val="28"/>
                <w:szCs w:val="28"/>
              </w:rPr>
              <w:t>辦理培訓班、座談會、講座、發表會或說明會等各式活動共</w:t>
            </w:r>
            <w:r w:rsidRPr="004074DA">
              <w:rPr>
                <w:rFonts w:ascii="Times New Roman" w:eastAsia="標楷體" w:hAnsi="Times New Roman" w:hint="eastAsia"/>
                <w:color w:val="000000"/>
                <w:sz w:val="28"/>
                <w:szCs w:val="28"/>
              </w:rPr>
              <w:t>20</w:t>
            </w:r>
            <w:r w:rsidRPr="004074DA">
              <w:rPr>
                <w:rFonts w:ascii="Times New Roman" w:eastAsia="標楷體" w:hAnsi="Times New Roman" w:hint="eastAsia"/>
                <w:color w:val="000000"/>
                <w:sz w:val="28"/>
                <w:szCs w:val="28"/>
              </w:rPr>
              <w:t>場次，參與達</w:t>
            </w:r>
            <w:r w:rsidRPr="004074DA">
              <w:rPr>
                <w:rFonts w:ascii="Times New Roman" w:eastAsia="標楷體" w:hAnsi="Times New Roman" w:hint="eastAsia"/>
                <w:color w:val="000000"/>
                <w:sz w:val="28"/>
                <w:szCs w:val="28"/>
              </w:rPr>
              <w:t>700</w:t>
            </w:r>
            <w:r w:rsidRPr="004074DA">
              <w:rPr>
                <w:rFonts w:ascii="Times New Roman" w:eastAsia="標楷體" w:hAnsi="Times New Roman" w:hint="eastAsia"/>
                <w:color w:val="000000"/>
                <w:sz w:val="28"/>
                <w:szCs w:val="28"/>
              </w:rPr>
              <w:t>人次以上。</w:t>
            </w:r>
          </w:p>
        </w:tc>
      </w:tr>
      <w:tr w:rsidR="00515949" w:rsidRPr="004074DA"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辦理「工程技術顧問公司管理條例施行細則」第10條之修正</w:t>
            </w:r>
          </w:p>
        </w:tc>
        <w:tc>
          <w:tcPr>
            <w:tcW w:w="10629" w:type="dxa"/>
          </w:tcPr>
          <w:p w:rsidR="00515949" w:rsidRDefault="00515949" w:rsidP="004E6D7D">
            <w:pPr>
              <w:tabs>
                <w:tab w:val="left" w:pos="376"/>
                <w:tab w:val="left" w:pos="431"/>
              </w:tabs>
              <w:snapToGrid w:val="0"/>
              <w:spacing w:line="0" w:lineRule="atLeast"/>
              <w:ind w:left="5"/>
              <w:jc w:val="both"/>
              <w:rPr>
                <w:rFonts w:ascii="標楷體" w:eastAsia="標楷體" w:hAnsi="標楷體" w:cs="Times New Roman"/>
                <w:sz w:val="28"/>
                <w:szCs w:val="28"/>
              </w:rPr>
            </w:pPr>
            <w:r w:rsidRPr="004C0998">
              <w:rPr>
                <w:rFonts w:ascii="標楷體" w:eastAsia="標楷體" w:hAnsi="標楷體" w:cs="Times New Roman" w:hint="eastAsia"/>
                <w:b/>
                <w:sz w:val="28"/>
                <w:szCs w:val="28"/>
              </w:rPr>
              <w:t>回歸公司治理責任，落實技師證照管理</w:t>
            </w:r>
            <w:r w:rsidRPr="004C0998">
              <w:rPr>
                <w:rFonts w:ascii="標楷體" w:eastAsia="標楷體" w:hAnsi="標楷體" w:cs="Times New Roman" w:hint="eastAsia"/>
                <w:sz w:val="28"/>
                <w:szCs w:val="28"/>
              </w:rPr>
              <w:t>：</w:t>
            </w:r>
          </w:p>
          <w:p w:rsidR="00515949" w:rsidRPr="00952240" w:rsidRDefault="00515949" w:rsidP="004E6D7D">
            <w:pPr>
              <w:tabs>
                <w:tab w:val="left" w:pos="376"/>
                <w:tab w:val="left" w:pos="431"/>
              </w:tabs>
              <w:snapToGrid w:val="0"/>
              <w:spacing w:line="0" w:lineRule="atLeast"/>
              <w:ind w:left="5"/>
              <w:jc w:val="both"/>
              <w:rPr>
                <w:rFonts w:ascii="標楷體" w:eastAsia="標楷體" w:hAnsi="標楷體" w:cs="Times New Roman"/>
                <w:sz w:val="28"/>
                <w:szCs w:val="28"/>
              </w:rPr>
            </w:pPr>
            <w:r w:rsidRPr="004C0998">
              <w:rPr>
                <w:rFonts w:ascii="標楷體" w:eastAsia="標楷體" w:hAnsi="標楷體" w:cs="Times New Roman" w:hint="eastAsia"/>
                <w:sz w:val="28"/>
                <w:szCs w:val="28"/>
              </w:rPr>
              <w:t>工程技術顧問公司執業技師兼職之規範，由「原則禁止例外許可」之正面表列方式，改為「負面表列」</w:t>
            </w:r>
            <w:r>
              <w:rPr>
                <w:rFonts w:ascii="標楷體" w:eastAsia="標楷體" w:hAnsi="標楷體" w:cs="Times New Roman" w:hint="eastAsia"/>
                <w:sz w:val="28"/>
                <w:szCs w:val="28"/>
              </w:rPr>
              <w:t>，</w:t>
            </w:r>
            <w:r w:rsidRPr="004C0998">
              <w:rPr>
                <w:rFonts w:ascii="標楷體" w:eastAsia="標楷體" w:hAnsi="標楷體" w:cs="Times New Roman" w:hint="eastAsia"/>
                <w:sz w:val="28"/>
                <w:szCs w:val="28"/>
              </w:rPr>
              <w:t>即除禁止兼任業務或職務不得與所任職之公司業務有衝突外，得兼任經公司同意之業務或職務，其中兼任技師公會之職務得無須經公司同意。另新</w:t>
            </w:r>
            <w:r>
              <w:rPr>
                <w:rFonts w:ascii="標楷體" w:eastAsia="標楷體" w:hAnsi="標楷體" w:cs="Times New Roman" w:hint="eastAsia"/>
                <w:sz w:val="28"/>
                <w:szCs w:val="28"/>
              </w:rPr>
              <w:t>增技師應親赴現場查核始得簽署相關書圖等規定，強化技師應盡責任，減少</w:t>
            </w:r>
            <w:r w:rsidRPr="00952240">
              <w:rPr>
                <w:rFonts w:ascii="標楷體" w:eastAsia="標楷體" w:hAnsi="標楷體" w:cs="Times New Roman" w:hint="eastAsia"/>
                <w:sz w:val="28"/>
                <w:szCs w:val="28"/>
              </w:rPr>
              <w:t>工程技</w:t>
            </w:r>
            <w:r>
              <w:rPr>
                <w:rFonts w:ascii="標楷體" w:eastAsia="標楷體" w:hAnsi="標楷體" w:cs="Times New Roman" w:hint="eastAsia"/>
                <w:sz w:val="28"/>
                <w:szCs w:val="28"/>
              </w:rPr>
              <w:t>術顧問公司執業技師與各技師公會之兼職報備程序，降低行政作業成本</w:t>
            </w:r>
            <w:r w:rsidRPr="00952240">
              <w:rPr>
                <w:rFonts w:ascii="標楷體" w:eastAsia="標楷體" w:hAnsi="標楷體" w:cs="Times New Roman" w:hint="eastAsia"/>
                <w:sz w:val="28"/>
                <w:szCs w:val="28"/>
              </w:rPr>
              <w:t>。</w:t>
            </w:r>
          </w:p>
        </w:tc>
      </w:tr>
      <w:tr w:rsidR="00515949" w:rsidRPr="004074DA"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協助營造業解決缺工問題</w:t>
            </w:r>
          </w:p>
        </w:tc>
        <w:tc>
          <w:tcPr>
            <w:tcW w:w="10629" w:type="dxa"/>
          </w:tcPr>
          <w:p w:rsidR="00515949" w:rsidRPr="002C431C" w:rsidRDefault="00515949" w:rsidP="004E6D7D">
            <w:pPr>
              <w:spacing w:line="0" w:lineRule="atLeast"/>
              <w:ind w:leftChars="2" w:left="5"/>
              <w:jc w:val="both"/>
              <w:rPr>
                <w:rFonts w:ascii="標楷體" w:eastAsia="標楷體" w:hAnsi="標楷體" w:cs="Times New Roman"/>
                <w:sz w:val="28"/>
                <w:szCs w:val="28"/>
              </w:rPr>
            </w:pPr>
            <w:r>
              <w:rPr>
                <w:rFonts w:ascii="標楷體" w:eastAsia="標楷體" w:hAnsi="標楷體" w:cs="Times New Roman" w:hint="eastAsia"/>
                <w:sz w:val="28"/>
                <w:szCs w:val="28"/>
              </w:rPr>
              <w:t>為協調改善國內營造產業缺工現象，已協調勞動部合理修正公共工程</w:t>
            </w:r>
            <w:r w:rsidRPr="002C431C">
              <w:rPr>
                <w:rFonts w:ascii="標楷體" w:eastAsia="標楷體" w:hAnsi="標楷體" w:cs="Times New Roman" w:hint="eastAsia"/>
                <w:sz w:val="28"/>
                <w:szCs w:val="28"/>
              </w:rPr>
              <w:t>外籍營造工規定，並刻與內政部、勞動部及經濟部合作推動整體性之改善措施。</w:t>
            </w:r>
            <w:r>
              <w:rPr>
                <w:rFonts w:ascii="標楷體" w:eastAsia="標楷體" w:hAnsi="標楷體" w:cs="Times New Roman" w:hint="eastAsia"/>
                <w:sz w:val="28"/>
                <w:szCs w:val="28"/>
              </w:rPr>
              <w:t>未來</w:t>
            </w:r>
            <w:r w:rsidRPr="002C431C">
              <w:rPr>
                <w:rFonts w:ascii="標楷體" w:eastAsia="標楷體" w:hAnsi="標楷體" w:cs="Times New Roman" w:hint="eastAsia"/>
                <w:sz w:val="28"/>
                <w:szCs w:val="28"/>
              </w:rPr>
              <w:t>相關改善措施如下</w:t>
            </w:r>
            <w:r>
              <w:rPr>
                <w:rFonts w:ascii="標楷體" w:eastAsia="標楷體" w:hAnsi="標楷體" w:cs="Times New Roman" w:hint="eastAsia"/>
                <w:sz w:val="28"/>
                <w:szCs w:val="28"/>
              </w:rPr>
              <w:t>:</w:t>
            </w:r>
          </w:p>
          <w:p w:rsidR="00515949" w:rsidRDefault="00515949" w:rsidP="00515949">
            <w:pPr>
              <w:pStyle w:val="a8"/>
              <w:numPr>
                <w:ilvl w:val="0"/>
                <w:numId w:val="29"/>
              </w:numPr>
              <w:tabs>
                <w:tab w:val="left" w:pos="376"/>
                <w:tab w:val="left" w:pos="431"/>
              </w:tabs>
              <w:spacing w:line="0" w:lineRule="atLeast"/>
              <w:ind w:leftChars="2" w:left="608" w:hangingChars="215" w:hanging="603"/>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全面落實技術證照制度，強化技術士及技術工培訓及考用合一</w:t>
            </w:r>
            <w:r>
              <w:rPr>
                <w:rFonts w:ascii="標楷體" w:eastAsia="標楷體" w:hAnsi="標楷體" w:cs="Times New Roman" w:hint="eastAsia"/>
                <w:sz w:val="28"/>
                <w:szCs w:val="28"/>
              </w:rPr>
              <w:t>：</w:t>
            </w:r>
          </w:p>
          <w:p w:rsidR="00515949" w:rsidRPr="00E206FE" w:rsidRDefault="00515949" w:rsidP="004E6D7D">
            <w:pPr>
              <w:pStyle w:val="a8"/>
              <w:tabs>
                <w:tab w:val="left" w:pos="376"/>
                <w:tab w:val="left" w:pos="431"/>
              </w:tabs>
              <w:spacing w:line="0" w:lineRule="atLeast"/>
              <w:ind w:leftChars="0" w:left="608"/>
              <w:jc w:val="both"/>
              <w:rPr>
                <w:rFonts w:ascii="標楷體" w:eastAsia="標楷體" w:hAnsi="標楷體" w:cs="Times New Roman"/>
                <w:sz w:val="28"/>
                <w:szCs w:val="28"/>
              </w:rPr>
            </w:pPr>
            <w:r w:rsidRPr="00E206FE">
              <w:rPr>
                <w:rFonts w:ascii="標楷體" w:eastAsia="標楷體" w:hAnsi="標楷體" w:cs="Times New Roman" w:hint="eastAsia"/>
                <w:sz w:val="28"/>
                <w:szCs w:val="28"/>
              </w:rPr>
              <w:t>串聯技術士、工之訓練、考照及聘用，依規定或契約落實聘用，業主如有技術士需求，核實編列預算給予相對待遇以吸引勞工投入。</w:t>
            </w:r>
          </w:p>
          <w:p w:rsidR="00515949" w:rsidRDefault="00515949" w:rsidP="00515949">
            <w:pPr>
              <w:pStyle w:val="a8"/>
              <w:numPr>
                <w:ilvl w:val="0"/>
                <w:numId w:val="29"/>
              </w:numPr>
              <w:tabs>
                <w:tab w:val="left" w:pos="376"/>
                <w:tab w:val="left" w:pos="431"/>
              </w:tabs>
              <w:spacing w:line="0" w:lineRule="atLeast"/>
              <w:ind w:leftChars="2" w:left="608" w:hangingChars="215" w:hanging="603"/>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鼓勵輔導營建自動化，減少現場人力需求</w:t>
            </w:r>
            <w:r>
              <w:rPr>
                <w:rFonts w:ascii="標楷體" w:eastAsia="標楷體" w:hAnsi="標楷體" w:cs="Times New Roman" w:hint="eastAsia"/>
                <w:sz w:val="28"/>
                <w:szCs w:val="28"/>
              </w:rPr>
              <w:t>：</w:t>
            </w:r>
          </w:p>
          <w:p w:rsidR="00515949" w:rsidRPr="00E206FE" w:rsidRDefault="00515949" w:rsidP="004E6D7D">
            <w:pPr>
              <w:pStyle w:val="a8"/>
              <w:tabs>
                <w:tab w:val="left" w:pos="376"/>
                <w:tab w:val="left" w:pos="431"/>
              </w:tabs>
              <w:spacing w:line="0" w:lineRule="atLeast"/>
              <w:ind w:leftChars="0" w:left="608"/>
              <w:jc w:val="both"/>
              <w:rPr>
                <w:rFonts w:ascii="標楷體" w:eastAsia="標楷體" w:hAnsi="標楷體" w:cs="Times New Roman"/>
                <w:sz w:val="28"/>
                <w:szCs w:val="28"/>
              </w:rPr>
            </w:pPr>
            <w:r w:rsidRPr="00E206FE">
              <w:rPr>
                <w:rFonts w:ascii="標楷體" w:eastAsia="標楷體" w:hAnsi="標楷體" w:cs="Times New Roman" w:hint="eastAsia"/>
                <w:sz w:val="28"/>
                <w:szCs w:val="28"/>
              </w:rPr>
              <w:t>實際鼓勵廠商發展營建自動化(產業創新投資抵減)，並由源頭設計開始要求採用自動化設計。</w:t>
            </w:r>
          </w:p>
          <w:p w:rsidR="00515949" w:rsidRDefault="00515949" w:rsidP="00515949">
            <w:pPr>
              <w:pStyle w:val="a8"/>
              <w:numPr>
                <w:ilvl w:val="0"/>
                <w:numId w:val="29"/>
              </w:numPr>
              <w:tabs>
                <w:tab w:val="left" w:pos="376"/>
                <w:tab w:val="left" w:pos="431"/>
              </w:tabs>
              <w:spacing w:line="0" w:lineRule="atLeast"/>
              <w:ind w:leftChars="2" w:left="608" w:hangingChars="215" w:hanging="603"/>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充份調查與釐清，化解外界疑慮，因應急需</w:t>
            </w:r>
            <w:r>
              <w:rPr>
                <w:rFonts w:ascii="標楷體" w:eastAsia="標楷體" w:hAnsi="標楷體" w:cs="Times New Roman" w:hint="eastAsia"/>
                <w:sz w:val="28"/>
                <w:szCs w:val="28"/>
              </w:rPr>
              <w:t>：</w:t>
            </w:r>
          </w:p>
          <w:p w:rsidR="00515949" w:rsidRPr="00790D72" w:rsidRDefault="00515949" w:rsidP="004E6D7D">
            <w:pPr>
              <w:pStyle w:val="a8"/>
              <w:tabs>
                <w:tab w:val="left" w:pos="376"/>
                <w:tab w:val="left" w:pos="431"/>
              </w:tabs>
              <w:spacing w:line="0" w:lineRule="atLeast"/>
              <w:ind w:leftChars="0" w:left="608"/>
              <w:jc w:val="both"/>
              <w:rPr>
                <w:rFonts w:ascii="標楷體" w:eastAsia="標楷體" w:hAnsi="標楷體" w:cs="Times New Roman"/>
                <w:color w:val="FF0000"/>
                <w:sz w:val="28"/>
                <w:szCs w:val="28"/>
              </w:rPr>
            </w:pPr>
            <w:r w:rsidRPr="00015F85">
              <w:rPr>
                <w:rFonts w:ascii="標楷體" w:eastAsia="標楷體" w:hAnsi="標楷體" w:cs="Times New Roman" w:hint="eastAsia"/>
                <w:sz w:val="28"/>
                <w:szCs w:val="28"/>
              </w:rPr>
              <w:t>應有調查之事實需求，且應敘明營造業仍會優先進用本國勞工及其他可帶動本國勞工就業機會的正面效益。</w:t>
            </w:r>
          </w:p>
        </w:tc>
      </w:tr>
      <w:tr w:rsidR="00515949" w:rsidRPr="004074DA" w:rsidTr="005C4E6E">
        <w:trPr>
          <w:trHeight w:val="357"/>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穩定砂石供需</w:t>
            </w:r>
          </w:p>
        </w:tc>
        <w:tc>
          <w:tcPr>
            <w:tcW w:w="10629" w:type="dxa"/>
          </w:tcPr>
          <w:p w:rsidR="00515949" w:rsidRDefault="00515949" w:rsidP="00515949">
            <w:pPr>
              <w:pStyle w:val="a8"/>
              <w:numPr>
                <w:ilvl w:val="0"/>
                <w:numId w:val="33"/>
              </w:numPr>
              <w:spacing w:line="0" w:lineRule="atLeast"/>
              <w:ind w:leftChars="0" w:left="572" w:hanging="572"/>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專案控管</w:t>
            </w:r>
            <w:r w:rsidRPr="00DB3A74">
              <w:rPr>
                <w:rFonts w:ascii="標楷體" w:eastAsia="標楷體" w:hAnsi="標楷體" w:cs="Times New Roman" w:hint="eastAsia"/>
                <w:b/>
                <w:sz w:val="28"/>
                <w:szCs w:val="28"/>
                <w:lang w:eastAsia="zh-HK"/>
              </w:rPr>
              <w:t>砂石價格及</w:t>
            </w:r>
            <w:r w:rsidRPr="00DB3A74">
              <w:rPr>
                <w:rFonts w:ascii="標楷體" w:eastAsia="標楷體" w:hAnsi="標楷體" w:cs="Times New Roman" w:hint="eastAsia"/>
                <w:b/>
                <w:sz w:val="28"/>
                <w:szCs w:val="28"/>
              </w:rPr>
              <w:t>疏濬情形</w:t>
            </w:r>
            <w:r w:rsidRPr="00DB3A74">
              <w:rPr>
                <w:rFonts w:ascii="標楷體" w:eastAsia="標楷體" w:hAnsi="標楷體" w:cs="Times New Roman" w:hint="eastAsia"/>
                <w:sz w:val="28"/>
                <w:szCs w:val="28"/>
              </w:rPr>
              <w:t>：</w:t>
            </w:r>
          </w:p>
          <w:p w:rsidR="00515949" w:rsidRPr="00DB3A74" w:rsidRDefault="00515949" w:rsidP="004E6D7D">
            <w:pPr>
              <w:pStyle w:val="a8"/>
              <w:spacing w:line="0" w:lineRule="atLeast"/>
              <w:ind w:leftChars="0" w:left="572"/>
              <w:jc w:val="both"/>
              <w:rPr>
                <w:rFonts w:ascii="標楷體" w:eastAsia="標楷體" w:hAnsi="標楷體" w:cs="Times New Roman"/>
                <w:sz w:val="28"/>
                <w:szCs w:val="28"/>
              </w:rPr>
            </w:pPr>
            <w:r w:rsidRPr="00DB3A74">
              <w:rPr>
                <w:rFonts w:ascii="標楷體" w:eastAsia="標楷體" w:hAnsi="標楷體" w:cs="Times New Roman" w:hint="eastAsia"/>
                <w:sz w:val="28"/>
                <w:szCs w:val="28"/>
              </w:rPr>
              <w:t>為確保全國砂石料源穩定供應，協處全國砂石供需問題，</w:t>
            </w:r>
            <w:r>
              <w:rPr>
                <w:rFonts w:ascii="標楷體" w:eastAsia="標楷體" w:hAnsi="標楷體" w:cs="Times New Roman" w:hint="eastAsia"/>
                <w:sz w:val="28"/>
                <w:szCs w:val="28"/>
              </w:rPr>
              <w:t>除</w:t>
            </w:r>
            <w:r w:rsidRPr="00DB3A74">
              <w:rPr>
                <w:rFonts w:ascii="標楷體" w:eastAsia="標楷體" w:hAnsi="標楷體" w:cs="Times New Roman" w:hint="eastAsia"/>
                <w:sz w:val="28"/>
                <w:szCs w:val="28"/>
              </w:rPr>
              <w:t>請</w:t>
            </w:r>
            <w:r>
              <w:rPr>
                <w:rFonts w:ascii="標楷體" w:eastAsia="標楷體" w:hAnsi="標楷體" w:cs="Times New Roman" w:hint="eastAsia"/>
                <w:sz w:val="28"/>
                <w:szCs w:val="28"/>
              </w:rPr>
              <w:t>經濟部確實掌握砂石、預拌混凝土的供需情形及市場價格，</w:t>
            </w:r>
            <w:r w:rsidRPr="00DB3A74">
              <w:rPr>
                <w:rFonts w:ascii="標楷體" w:eastAsia="標楷體" w:hAnsi="標楷體" w:cs="Times New Roman" w:hint="eastAsia"/>
                <w:sz w:val="28"/>
                <w:szCs w:val="28"/>
              </w:rPr>
              <w:t>專案控管全國河川砂石疏濬情形，提供足夠料源，</w:t>
            </w:r>
            <w:r w:rsidRPr="00DB3A74">
              <w:rPr>
                <w:rFonts w:ascii="標楷體" w:eastAsia="標楷體" w:hAnsi="標楷體" w:cs="Times New Roman" w:hint="eastAsia"/>
                <w:sz w:val="28"/>
                <w:szCs w:val="28"/>
                <w:lang w:eastAsia="zh-HK"/>
              </w:rPr>
              <w:t>並</w:t>
            </w:r>
            <w:r w:rsidRPr="00DB3A74">
              <w:rPr>
                <w:rFonts w:ascii="標楷體" w:eastAsia="標楷體" w:hAnsi="標楷體" w:cs="Times New Roman" w:hint="eastAsia"/>
                <w:sz w:val="28"/>
                <w:szCs w:val="28"/>
              </w:rPr>
              <w:t>採用東砂北運、固定價格</w:t>
            </w:r>
            <w:r w:rsidR="00D36557">
              <w:rPr>
                <w:rFonts w:ascii="標楷體" w:eastAsia="標楷體" w:hAnsi="標楷體" w:cs="Times New Roman" w:hint="eastAsia"/>
                <w:sz w:val="28"/>
                <w:szCs w:val="28"/>
              </w:rPr>
              <w:t>販</w:t>
            </w:r>
            <w:r w:rsidRPr="00DB3A74">
              <w:rPr>
                <w:rFonts w:ascii="標楷體" w:eastAsia="標楷體" w:hAnsi="標楷體" w:cs="Times New Roman" w:hint="eastAsia"/>
                <w:sz w:val="28"/>
                <w:szCs w:val="28"/>
              </w:rPr>
              <w:t>售疏濬砂石，穩定市場行情。</w:t>
            </w:r>
          </w:p>
          <w:p w:rsidR="00515949" w:rsidRDefault="00515949" w:rsidP="00515949">
            <w:pPr>
              <w:pStyle w:val="a8"/>
              <w:numPr>
                <w:ilvl w:val="0"/>
                <w:numId w:val="33"/>
              </w:numPr>
              <w:spacing w:line="0" w:lineRule="atLeast"/>
              <w:ind w:leftChars="0" w:left="572" w:hanging="572"/>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按月於「公共建設督導會報」追蹤</w:t>
            </w:r>
            <w:r w:rsidRPr="00DB3A74">
              <w:rPr>
                <w:rFonts w:ascii="標楷體" w:eastAsia="標楷體" w:hAnsi="標楷體" w:cs="Times New Roman" w:hint="eastAsia"/>
                <w:sz w:val="28"/>
                <w:szCs w:val="28"/>
              </w:rPr>
              <w:t>：</w:t>
            </w:r>
          </w:p>
          <w:p w:rsidR="00515949" w:rsidRPr="00DB3A74" w:rsidRDefault="00515949" w:rsidP="004E6D7D">
            <w:pPr>
              <w:pStyle w:val="a8"/>
              <w:spacing w:line="0" w:lineRule="atLeast"/>
              <w:ind w:leftChars="0" w:left="572"/>
              <w:jc w:val="both"/>
              <w:rPr>
                <w:rFonts w:ascii="標楷體" w:eastAsia="標楷體" w:hAnsi="標楷體" w:cs="Times New Roman"/>
                <w:sz w:val="28"/>
                <w:szCs w:val="28"/>
              </w:rPr>
            </w:pPr>
            <w:r w:rsidRPr="00DB3A74">
              <w:rPr>
                <w:rFonts w:ascii="標楷體" w:eastAsia="標楷體" w:hAnsi="標楷體" w:cs="Times New Roman" w:hint="eastAsia"/>
                <w:sz w:val="28"/>
                <w:szCs w:val="28"/>
              </w:rPr>
              <w:t>及早預警因應砂石供需問題，以量足價穩達成110年自產砂石穩定供應6,000萬</w:t>
            </w:r>
            <w:r w:rsidRPr="00DB3A74">
              <w:rPr>
                <w:rFonts w:ascii="標楷體" w:eastAsia="標楷體" w:hAnsi="標楷體" w:cs="Times New Roman" w:hint="eastAsia"/>
                <w:sz w:val="28"/>
                <w:szCs w:val="28"/>
              </w:rPr>
              <w:lastRenderedPageBreak/>
              <w:t>噸之目標。</w:t>
            </w:r>
          </w:p>
        </w:tc>
      </w:tr>
      <w:tr w:rsidR="00515949" w:rsidRPr="004074DA"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公共工程金質獎</w:t>
            </w:r>
            <w:r w:rsidRPr="00174337">
              <w:rPr>
                <w:rFonts w:ascii="標楷體" w:eastAsia="標楷體" w:hAnsi="標楷體" w:cs="Times New Roman" w:hint="eastAsia"/>
                <w:b/>
                <w:sz w:val="28"/>
                <w:szCs w:val="28"/>
                <w:lang w:eastAsia="zh-HK"/>
              </w:rPr>
              <w:t>精進</w:t>
            </w:r>
          </w:p>
        </w:tc>
        <w:tc>
          <w:tcPr>
            <w:tcW w:w="10629" w:type="dxa"/>
          </w:tcPr>
          <w:p w:rsidR="00515949" w:rsidRDefault="00515949" w:rsidP="004E6D7D">
            <w:pPr>
              <w:snapToGrid w:val="0"/>
              <w:spacing w:line="0" w:lineRule="atLeast"/>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提升公共工程金質獎之廣度及深度</w:t>
            </w:r>
            <w:r>
              <w:rPr>
                <w:rFonts w:ascii="標楷體" w:eastAsia="標楷體" w:hAnsi="標楷體" w:cs="Times New Roman" w:hint="eastAsia"/>
                <w:sz w:val="28"/>
                <w:szCs w:val="28"/>
              </w:rPr>
              <w:t>：</w:t>
            </w:r>
          </w:p>
          <w:p w:rsidR="00515949" w:rsidRDefault="00515949" w:rsidP="004E6D7D">
            <w:pPr>
              <w:snapToGrid w:val="0"/>
              <w:spacing w:line="0" w:lineRule="atLeast"/>
              <w:jc w:val="both"/>
              <w:rPr>
                <w:rFonts w:ascii="標楷體" w:eastAsia="標楷體" w:hAnsi="標楷體" w:cs="Times New Roman"/>
                <w:sz w:val="28"/>
                <w:szCs w:val="28"/>
              </w:rPr>
            </w:pPr>
            <w:r w:rsidRPr="00DB3A74">
              <w:rPr>
                <w:rFonts w:ascii="標楷體" w:eastAsia="標楷體" w:hAnsi="標楷體" w:cs="Times New Roman" w:hint="eastAsia"/>
                <w:sz w:val="28"/>
                <w:szCs w:val="28"/>
              </w:rPr>
              <w:t>研討公共工程金質獎納入「維護管理類」之合宜性與妥適性，</w:t>
            </w:r>
            <w:r>
              <w:rPr>
                <w:rFonts w:ascii="標楷體" w:eastAsia="標楷體" w:hAnsi="標楷體" w:cs="Times New Roman" w:hint="eastAsia"/>
                <w:sz w:val="28"/>
                <w:szCs w:val="28"/>
                <w:lang w:eastAsia="zh-HK"/>
              </w:rPr>
              <w:t>並</w:t>
            </w:r>
            <w:r>
              <w:rPr>
                <w:rFonts w:ascii="標楷體" w:eastAsia="標楷體" w:hAnsi="標楷體" w:cs="Times New Roman" w:hint="eastAsia"/>
                <w:sz w:val="28"/>
                <w:szCs w:val="28"/>
              </w:rPr>
              <w:t>強化生態永續措施，包含生態檢核納為推薦基準、實地評審或複評會議納入生態專家學者等，讓金質獎獎勵對象及範圍更具廣度，評審標準之深度更加完備。</w:t>
            </w:r>
          </w:p>
        </w:tc>
      </w:tr>
      <w:tr w:rsidR="00515949" w:rsidRPr="004074DA"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推動重大公共建設計畫(含前瞻計畫)，強化基礎設施</w:t>
            </w:r>
          </w:p>
        </w:tc>
        <w:tc>
          <w:tcPr>
            <w:tcW w:w="10629" w:type="dxa"/>
          </w:tcPr>
          <w:p w:rsidR="00515949" w:rsidRDefault="00515949" w:rsidP="004E6D7D">
            <w:pPr>
              <w:snapToGrid w:val="0"/>
              <w:spacing w:line="0" w:lineRule="atLeast"/>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提前盤點公共建設計畫</w:t>
            </w:r>
            <w:r>
              <w:rPr>
                <w:rFonts w:ascii="標楷體" w:eastAsia="標楷體" w:hAnsi="標楷體" w:cs="Times New Roman" w:hint="eastAsia"/>
                <w:sz w:val="28"/>
                <w:szCs w:val="28"/>
              </w:rPr>
              <w:t>：</w:t>
            </w:r>
          </w:p>
          <w:p w:rsidR="00515949" w:rsidRDefault="00515949" w:rsidP="004E6D7D">
            <w:pPr>
              <w:snapToGrid w:val="0"/>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加強一般公共建設計畫及公共建設類前瞻計畫之預算執行，並針對補助型計畫加強督導，提升預算執行率，俾達成年度預算達成率95%之年度目標。</w:t>
            </w:r>
          </w:p>
        </w:tc>
      </w:tr>
      <w:tr w:rsidR="00515949" w:rsidRPr="004074DA"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Pr>
                <w:rFonts w:ascii="標楷體" w:eastAsia="標楷體" w:hAnsi="標楷體" w:cs="Times New Roman" w:hint="eastAsia"/>
                <w:b/>
                <w:sz w:val="28"/>
                <w:szCs w:val="28"/>
              </w:rPr>
              <w:t>列管閒置公共設施，加速活化</w:t>
            </w:r>
          </w:p>
        </w:tc>
        <w:tc>
          <w:tcPr>
            <w:tcW w:w="10629" w:type="dxa"/>
          </w:tcPr>
          <w:p w:rsidR="00515949" w:rsidRDefault="00515949" w:rsidP="00515949">
            <w:pPr>
              <w:pStyle w:val="a8"/>
              <w:numPr>
                <w:ilvl w:val="0"/>
                <w:numId w:val="32"/>
              </w:numPr>
              <w:spacing w:line="0" w:lineRule="atLeast"/>
              <w:ind w:leftChars="0" w:left="572" w:hanging="572"/>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持續召會協調排除執行困難</w:t>
            </w:r>
            <w:r w:rsidRPr="00DB3A74">
              <w:rPr>
                <w:rFonts w:ascii="標楷體" w:eastAsia="標楷體" w:hAnsi="標楷體" w:cs="Times New Roman" w:hint="eastAsia"/>
                <w:sz w:val="28"/>
                <w:szCs w:val="28"/>
              </w:rPr>
              <w:t>：</w:t>
            </w:r>
          </w:p>
          <w:p w:rsidR="00515949" w:rsidRPr="00DB3A74" w:rsidRDefault="00515949" w:rsidP="004E6D7D">
            <w:pPr>
              <w:pStyle w:val="a8"/>
              <w:spacing w:line="0" w:lineRule="atLeast"/>
              <w:ind w:leftChars="0" w:left="572"/>
              <w:jc w:val="both"/>
              <w:rPr>
                <w:rFonts w:ascii="標楷體" w:eastAsia="標楷體" w:hAnsi="標楷體" w:cs="Times New Roman"/>
                <w:sz w:val="28"/>
                <w:szCs w:val="28"/>
              </w:rPr>
            </w:pPr>
            <w:r w:rsidRPr="00DB3A74">
              <w:rPr>
                <w:rFonts w:ascii="標楷體" w:eastAsia="標楷體" w:hAnsi="標楷體" w:cs="Times New Roman" w:hint="eastAsia"/>
                <w:sz w:val="28"/>
                <w:szCs w:val="28"/>
              </w:rPr>
              <w:t>依「閒置公共設施提報列管及活化作業要點」，每季召開設施督導會議，協調解決活化困難問題。</w:t>
            </w:r>
          </w:p>
          <w:p w:rsidR="00515949" w:rsidRDefault="00515949" w:rsidP="00515949">
            <w:pPr>
              <w:pStyle w:val="a8"/>
              <w:numPr>
                <w:ilvl w:val="0"/>
                <w:numId w:val="32"/>
              </w:numPr>
              <w:spacing w:line="0" w:lineRule="atLeast"/>
              <w:ind w:leftChars="0" w:left="572" w:hanging="572"/>
              <w:jc w:val="both"/>
              <w:rPr>
                <w:rFonts w:ascii="標楷體" w:eastAsia="標楷體" w:hAnsi="標楷體" w:cs="Times New Roman"/>
                <w:sz w:val="28"/>
                <w:szCs w:val="28"/>
              </w:rPr>
            </w:pPr>
            <w:r w:rsidRPr="00DB3A74">
              <w:rPr>
                <w:rFonts w:ascii="標楷體" w:eastAsia="標楷體" w:hAnsi="標楷體" w:cs="Times New Roman" w:hint="eastAsia"/>
                <w:b/>
                <w:sz w:val="28"/>
                <w:szCs w:val="28"/>
              </w:rPr>
              <w:t>預期</w:t>
            </w:r>
            <w:r>
              <w:rPr>
                <w:rFonts w:ascii="標楷體" w:eastAsia="標楷體" w:hAnsi="標楷體" w:cs="Times New Roman" w:hint="eastAsia"/>
                <w:b/>
                <w:sz w:val="28"/>
                <w:szCs w:val="28"/>
              </w:rPr>
              <w:t>活化閒置</w:t>
            </w:r>
            <w:r w:rsidRPr="00DB3A74">
              <w:rPr>
                <w:rFonts w:ascii="標楷體" w:eastAsia="標楷體" w:hAnsi="標楷體" w:cs="Times New Roman" w:hint="eastAsia"/>
                <w:b/>
                <w:sz w:val="28"/>
                <w:szCs w:val="28"/>
              </w:rPr>
              <w:t>目標</w:t>
            </w:r>
            <w:r w:rsidRPr="00DB3A74">
              <w:rPr>
                <w:rFonts w:ascii="標楷體" w:eastAsia="標楷體" w:hAnsi="標楷體" w:cs="Times New Roman" w:hint="eastAsia"/>
                <w:sz w:val="28"/>
                <w:szCs w:val="28"/>
              </w:rPr>
              <w:t>：</w:t>
            </w:r>
          </w:p>
          <w:p w:rsidR="00515949" w:rsidRPr="00DB3A74" w:rsidRDefault="00515949" w:rsidP="004E6D7D">
            <w:pPr>
              <w:pStyle w:val="a8"/>
              <w:spacing w:line="0" w:lineRule="atLeast"/>
              <w:ind w:leftChars="0" w:left="572"/>
              <w:jc w:val="both"/>
              <w:rPr>
                <w:rFonts w:ascii="標楷體" w:eastAsia="標楷體" w:hAnsi="標楷體" w:cs="Times New Roman"/>
                <w:sz w:val="28"/>
                <w:szCs w:val="28"/>
              </w:rPr>
            </w:pPr>
            <w:r>
              <w:rPr>
                <w:rFonts w:ascii="標楷體" w:eastAsia="標楷體" w:hAnsi="標楷體" w:cs="Times New Roman" w:hint="eastAsia"/>
                <w:sz w:val="28"/>
                <w:szCs w:val="28"/>
              </w:rPr>
              <w:t>協調機關</w:t>
            </w:r>
            <w:r w:rsidRPr="00DB3A74">
              <w:rPr>
                <w:rFonts w:ascii="標楷體" w:eastAsia="標楷體" w:hAnsi="標楷體" w:cs="Times New Roman" w:hint="eastAsia"/>
                <w:sz w:val="28"/>
                <w:szCs w:val="28"/>
              </w:rPr>
              <w:t>活化3件閒置公共設施。</w:t>
            </w:r>
          </w:p>
        </w:tc>
      </w:tr>
      <w:tr w:rsidR="00515949" w:rsidRPr="004074DA" w:rsidTr="005C4E6E">
        <w:trPr>
          <w:trHeight w:val="382"/>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cs="Times New Roman"/>
                <w:b/>
                <w:sz w:val="28"/>
                <w:szCs w:val="28"/>
              </w:rPr>
            </w:pPr>
            <w:r w:rsidRPr="00174337">
              <w:rPr>
                <w:rFonts w:ascii="標楷體" w:eastAsia="標楷體" w:hAnsi="標楷體" w:cs="Times New Roman" w:hint="eastAsia"/>
                <w:b/>
                <w:sz w:val="28"/>
                <w:szCs w:val="28"/>
              </w:rPr>
              <w:t>健全設施維護管理及資訊透明</w:t>
            </w:r>
          </w:p>
        </w:tc>
        <w:tc>
          <w:tcPr>
            <w:tcW w:w="10629" w:type="dxa"/>
          </w:tcPr>
          <w:p w:rsidR="00515949" w:rsidRDefault="00515949" w:rsidP="00515949">
            <w:pPr>
              <w:pStyle w:val="a8"/>
              <w:numPr>
                <w:ilvl w:val="0"/>
                <w:numId w:val="30"/>
              </w:numPr>
              <w:tabs>
                <w:tab w:val="left" w:pos="376"/>
                <w:tab w:val="left" w:pos="431"/>
              </w:tabs>
              <w:spacing w:line="0" w:lineRule="atLeast"/>
              <w:ind w:leftChars="2" w:left="608" w:hangingChars="215" w:hanging="603"/>
              <w:jc w:val="both"/>
              <w:rPr>
                <w:rFonts w:ascii="標楷體" w:eastAsia="標楷體" w:hAnsi="標楷體" w:cs="Times New Roman"/>
                <w:sz w:val="28"/>
                <w:szCs w:val="28"/>
              </w:rPr>
            </w:pPr>
            <w:r w:rsidRPr="00D446E9">
              <w:rPr>
                <w:rFonts w:ascii="標楷體" w:eastAsia="標楷體" w:hAnsi="標楷體" w:cs="Times New Roman" w:hint="eastAsia"/>
                <w:b/>
                <w:sz w:val="28"/>
                <w:szCs w:val="28"/>
              </w:rPr>
              <w:t>律訂各級機關對於維管資訊公開之權責</w:t>
            </w:r>
            <w:r w:rsidRPr="00E206FE">
              <w:rPr>
                <w:rFonts w:ascii="標楷體" w:eastAsia="標楷體" w:hAnsi="標楷體" w:cs="Times New Roman" w:hint="eastAsia"/>
                <w:sz w:val="28"/>
                <w:szCs w:val="28"/>
              </w:rPr>
              <w:t>：</w:t>
            </w:r>
          </w:p>
          <w:p w:rsidR="00515949" w:rsidRPr="00E206FE" w:rsidRDefault="00515949" w:rsidP="004E6D7D">
            <w:pPr>
              <w:pStyle w:val="a8"/>
              <w:tabs>
                <w:tab w:val="left" w:pos="376"/>
                <w:tab w:val="left" w:pos="431"/>
              </w:tabs>
              <w:spacing w:line="0" w:lineRule="atLeast"/>
              <w:ind w:leftChars="0" w:left="608"/>
              <w:jc w:val="both"/>
              <w:rPr>
                <w:rFonts w:ascii="標楷體" w:eastAsia="標楷體" w:hAnsi="標楷體" w:cs="Times New Roman"/>
                <w:sz w:val="28"/>
                <w:szCs w:val="28"/>
              </w:rPr>
            </w:pPr>
            <w:r w:rsidRPr="0049004F">
              <w:rPr>
                <w:rFonts w:ascii="標楷體" w:eastAsia="標楷體" w:hAnsi="標楷體" w:cs="Times New Roman" w:hint="eastAsia"/>
                <w:sz w:val="28"/>
                <w:szCs w:val="28"/>
              </w:rPr>
              <w:t>以往公共設施之維護管理情形由各養護單位自行辦理，其落實情形不易為外界查詢。</w:t>
            </w:r>
            <w:r w:rsidRPr="00E206FE">
              <w:rPr>
                <w:rFonts w:ascii="標楷體" w:eastAsia="標楷體" w:hAnsi="標楷體" w:cs="Times New Roman" w:hint="eastAsia"/>
                <w:sz w:val="28"/>
                <w:szCs w:val="28"/>
              </w:rPr>
              <w:t>訂定「公共設施維護管理資訊公開作業要點」，律訂各級機關對於維管資訊公開之權責，據以要求各級機關應就關鍵公共基礎設施之維護管理資訊予以公開，預計110年8月辦理評鑑並公開成效。</w:t>
            </w:r>
          </w:p>
          <w:p w:rsidR="00515949" w:rsidRDefault="00515949" w:rsidP="00515949">
            <w:pPr>
              <w:pStyle w:val="a8"/>
              <w:numPr>
                <w:ilvl w:val="0"/>
                <w:numId w:val="30"/>
              </w:numPr>
              <w:tabs>
                <w:tab w:val="left" w:pos="376"/>
                <w:tab w:val="left" w:pos="431"/>
              </w:tabs>
              <w:spacing w:line="0" w:lineRule="atLeast"/>
              <w:ind w:leftChars="2" w:left="608" w:hangingChars="215" w:hanging="603"/>
              <w:jc w:val="both"/>
              <w:rPr>
                <w:rFonts w:ascii="標楷體" w:eastAsia="標楷體" w:hAnsi="標楷體" w:cs="Times New Roman"/>
                <w:sz w:val="28"/>
                <w:szCs w:val="28"/>
              </w:rPr>
            </w:pPr>
            <w:r w:rsidRPr="00D446E9">
              <w:rPr>
                <w:rFonts w:ascii="標楷體" w:eastAsia="標楷體" w:hAnsi="標楷體" w:cs="Times New Roman" w:hint="eastAsia"/>
                <w:b/>
                <w:sz w:val="28"/>
                <w:szCs w:val="28"/>
              </w:rPr>
              <w:t>建置開發公共設施維護管理資訊系統</w:t>
            </w:r>
            <w:r w:rsidRPr="00E206FE">
              <w:rPr>
                <w:rFonts w:ascii="標楷體" w:eastAsia="標楷體" w:hAnsi="標楷體" w:cs="Times New Roman" w:hint="eastAsia"/>
                <w:sz w:val="28"/>
                <w:szCs w:val="28"/>
              </w:rPr>
              <w:t>：</w:t>
            </w:r>
          </w:p>
          <w:p w:rsidR="00515949" w:rsidRPr="00E206FE" w:rsidRDefault="00515949" w:rsidP="004E6D7D">
            <w:pPr>
              <w:pStyle w:val="a8"/>
              <w:tabs>
                <w:tab w:val="left" w:pos="376"/>
                <w:tab w:val="left" w:pos="431"/>
              </w:tabs>
              <w:spacing w:line="0" w:lineRule="atLeast"/>
              <w:ind w:leftChars="0" w:left="608"/>
              <w:jc w:val="both"/>
              <w:rPr>
                <w:rFonts w:ascii="標楷體" w:eastAsia="標楷體" w:hAnsi="標楷體" w:cs="Times New Roman"/>
                <w:sz w:val="28"/>
                <w:szCs w:val="28"/>
              </w:rPr>
            </w:pPr>
            <w:r w:rsidRPr="00E206FE">
              <w:rPr>
                <w:rFonts w:ascii="標楷體" w:eastAsia="標楷體" w:hAnsi="標楷體" w:cs="Times New Roman" w:hint="eastAsia"/>
                <w:sz w:val="28"/>
                <w:szCs w:val="28"/>
              </w:rPr>
              <w:t>自行開發公共設施維護管理資訊系統，據以蒐集各機關辦理公共設施維護管理之資訊，並適度公布提供外界友善之查詢管道。</w:t>
            </w:r>
          </w:p>
        </w:tc>
      </w:tr>
      <w:tr w:rsidR="00515949" w:rsidRPr="004074DA" w:rsidTr="005C4E6E">
        <w:trPr>
          <w:trHeight w:val="273"/>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b/>
                <w:snapToGrid w:val="0"/>
                <w:sz w:val="28"/>
                <w:szCs w:val="28"/>
              </w:rPr>
            </w:pPr>
            <w:r w:rsidRPr="00174337">
              <w:rPr>
                <w:rFonts w:ascii="標楷體" w:eastAsia="標楷體" w:hAnsi="標楷體" w:hint="eastAsia"/>
                <w:b/>
                <w:snapToGrid w:val="0"/>
                <w:sz w:val="28"/>
                <w:szCs w:val="28"/>
              </w:rPr>
              <w:t>提升政府採購申訴、調解案件之處理效能</w:t>
            </w:r>
          </w:p>
        </w:tc>
        <w:tc>
          <w:tcPr>
            <w:tcW w:w="10629" w:type="dxa"/>
          </w:tcPr>
          <w:p w:rsidR="00515949" w:rsidRDefault="00515949" w:rsidP="00515949">
            <w:pPr>
              <w:pStyle w:val="a8"/>
              <w:numPr>
                <w:ilvl w:val="0"/>
                <w:numId w:val="31"/>
              </w:numPr>
              <w:snapToGrid w:val="0"/>
              <w:spacing w:line="0" w:lineRule="atLeast"/>
              <w:ind w:leftChars="0" w:left="572" w:hanging="572"/>
              <w:jc w:val="both"/>
              <w:rPr>
                <w:rFonts w:ascii="標楷體" w:eastAsia="標楷體" w:hAnsi="標楷體"/>
                <w:snapToGrid w:val="0"/>
                <w:sz w:val="28"/>
                <w:szCs w:val="28"/>
              </w:rPr>
            </w:pPr>
            <w:r w:rsidRPr="00D446E9">
              <w:rPr>
                <w:rFonts w:ascii="標楷體" w:eastAsia="標楷體" w:hAnsi="標楷體" w:hint="eastAsia"/>
                <w:b/>
                <w:snapToGrid w:val="0"/>
                <w:sz w:val="28"/>
                <w:szCs w:val="28"/>
              </w:rPr>
              <w:t>加速處理爭議案件</w:t>
            </w:r>
            <w:r w:rsidRPr="00D446E9">
              <w:rPr>
                <w:rFonts w:ascii="標楷體" w:eastAsia="標楷體" w:hAnsi="標楷體" w:hint="eastAsia"/>
                <w:snapToGrid w:val="0"/>
                <w:sz w:val="28"/>
                <w:szCs w:val="28"/>
              </w:rPr>
              <w:t>：</w:t>
            </w:r>
          </w:p>
          <w:p w:rsidR="00515949" w:rsidRDefault="00515949" w:rsidP="004E6D7D">
            <w:pPr>
              <w:pStyle w:val="a8"/>
              <w:snapToGrid w:val="0"/>
              <w:spacing w:line="0" w:lineRule="atLeast"/>
              <w:ind w:leftChars="0" w:left="572"/>
              <w:jc w:val="both"/>
              <w:rPr>
                <w:rFonts w:ascii="標楷體" w:eastAsia="標楷體" w:hAnsi="標楷體"/>
                <w:snapToGrid w:val="0"/>
                <w:sz w:val="28"/>
                <w:szCs w:val="28"/>
              </w:rPr>
            </w:pPr>
            <w:r w:rsidRPr="00D446E9">
              <w:rPr>
                <w:rFonts w:ascii="標楷體" w:eastAsia="標楷體" w:hAnsi="標楷體" w:hint="eastAsia"/>
                <w:snapToGrid w:val="0"/>
                <w:sz w:val="28"/>
                <w:szCs w:val="28"/>
              </w:rPr>
              <w:t>政府採購爭議處理時間如過長，對機關辦理採購之效率及廠商權益將產生影響，縮短案件辦理期程，</w:t>
            </w:r>
            <w:r>
              <w:rPr>
                <w:rFonts w:ascii="標楷體" w:eastAsia="標楷體" w:hAnsi="標楷體" w:hint="eastAsia"/>
                <w:snapToGrid w:val="0"/>
                <w:sz w:val="28"/>
                <w:szCs w:val="28"/>
              </w:rPr>
              <w:t>有助</w:t>
            </w:r>
            <w:r w:rsidRPr="00D446E9">
              <w:rPr>
                <w:rFonts w:ascii="標楷體" w:eastAsia="標楷體" w:hAnsi="標楷體" w:hint="eastAsia"/>
                <w:snapToGrid w:val="0"/>
                <w:sz w:val="28"/>
                <w:szCs w:val="28"/>
              </w:rPr>
              <w:t>加速解決政府採購爭議，</w:t>
            </w:r>
            <w:r>
              <w:rPr>
                <w:rFonts w:ascii="標楷體" w:eastAsia="標楷體" w:hAnsi="標楷體" w:hint="eastAsia"/>
                <w:snapToGrid w:val="0"/>
                <w:sz w:val="28"/>
                <w:szCs w:val="28"/>
              </w:rPr>
              <w:t>並</w:t>
            </w:r>
            <w:r w:rsidRPr="00D446E9">
              <w:rPr>
                <w:rFonts w:ascii="標楷體" w:eastAsia="標楷體" w:hAnsi="標楷體" w:hint="eastAsia"/>
                <w:snapToGrid w:val="0"/>
                <w:sz w:val="28"/>
                <w:szCs w:val="28"/>
              </w:rPr>
              <w:t>提升政府採購執行效能。</w:t>
            </w:r>
          </w:p>
          <w:p w:rsidR="00515949" w:rsidRDefault="00515949" w:rsidP="00515949">
            <w:pPr>
              <w:pStyle w:val="a8"/>
              <w:numPr>
                <w:ilvl w:val="0"/>
                <w:numId w:val="31"/>
              </w:numPr>
              <w:snapToGrid w:val="0"/>
              <w:spacing w:line="0" w:lineRule="atLeast"/>
              <w:ind w:leftChars="0" w:left="572" w:hanging="572"/>
              <w:jc w:val="both"/>
              <w:rPr>
                <w:rFonts w:ascii="標楷體" w:eastAsia="標楷體" w:hAnsi="標楷體"/>
                <w:snapToGrid w:val="0"/>
                <w:sz w:val="28"/>
                <w:szCs w:val="28"/>
              </w:rPr>
            </w:pPr>
            <w:r w:rsidRPr="00D446E9">
              <w:rPr>
                <w:rFonts w:ascii="標楷體" w:eastAsia="標楷體" w:hAnsi="標楷體" w:hint="eastAsia"/>
                <w:b/>
                <w:snapToGrid w:val="0"/>
                <w:sz w:val="28"/>
                <w:szCs w:val="28"/>
              </w:rPr>
              <w:t>全面出具調解建議</w:t>
            </w:r>
            <w:r w:rsidRPr="00D446E9">
              <w:rPr>
                <w:rFonts w:ascii="標楷體" w:eastAsia="標楷體" w:hAnsi="標楷體" w:hint="eastAsia"/>
                <w:snapToGrid w:val="0"/>
                <w:sz w:val="28"/>
                <w:szCs w:val="28"/>
              </w:rPr>
              <w:t>：</w:t>
            </w:r>
          </w:p>
          <w:p w:rsidR="00515949" w:rsidRPr="00553B3F" w:rsidRDefault="00515949" w:rsidP="004E6D7D">
            <w:pPr>
              <w:pStyle w:val="a8"/>
              <w:snapToGrid w:val="0"/>
              <w:spacing w:line="0" w:lineRule="atLeast"/>
              <w:ind w:leftChars="0" w:left="572"/>
              <w:jc w:val="both"/>
              <w:rPr>
                <w:rFonts w:ascii="標楷體" w:eastAsia="標楷體" w:hAnsi="標楷體"/>
                <w:snapToGrid w:val="0"/>
                <w:sz w:val="28"/>
                <w:szCs w:val="28"/>
              </w:rPr>
            </w:pPr>
            <w:r w:rsidRPr="00D446E9">
              <w:rPr>
                <w:rFonts w:ascii="標楷體" w:eastAsia="標楷體" w:hAnsi="標楷體" w:hint="eastAsia"/>
                <w:snapToGrid w:val="0"/>
                <w:sz w:val="28"/>
                <w:szCs w:val="28"/>
              </w:rPr>
              <w:lastRenderedPageBreak/>
              <w:t>爭議當事人期待經調解後獲具體結論</w:t>
            </w:r>
            <w:r>
              <w:rPr>
                <w:rFonts w:ascii="標楷體" w:eastAsia="標楷體" w:hAnsi="標楷體" w:hint="eastAsia"/>
                <w:snapToGrid w:val="0"/>
                <w:sz w:val="28"/>
                <w:szCs w:val="28"/>
              </w:rPr>
              <w:t>並</w:t>
            </w:r>
            <w:r w:rsidRPr="00D446E9">
              <w:rPr>
                <w:rFonts w:ascii="標楷體" w:eastAsia="標楷體" w:hAnsi="標楷體" w:hint="eastAsia"/>
                <w:snapToGrid w:val="0"/>
                <w:sz w:val="28"/>
                <w:szCs w:val="28"/>
              </w:rPr>
              <w:t>解決履約爭議，</w:t>
            </w:r>
            <w:r w:rsidRPr="00D446E9">
              <w:rPr>
                <w:rFonts w:ascii="標楷體" w:eastAsia="標楷體" w:hAnsi="標楷體" w:hint="eastAsia"/>
                <w:snapToGrid w:val="0"/>
                <w:sz w:val="28"/>
                <w:szCs w:val="28"/>
                <w:lang w:eastAsia="zh-HK"/>
              </w:rPr>
              <w:t>爰</w:t>
            </w:r>
            <w:r w:rsidRPr="00D446E9">
              <w:rPr>
                <w:rFonts w:ascii="標楷體" w:eastAsia="標楷體" w:hAnsi="標楷體" w:hint="eastAsia"/>
                <w:snapToGrid w:val="0"/>
                <w:sz w:val="28"/>
                <w:szCs w:val="28"/>
              </w:rPr>
              <w:t>不分採購類別，全面出具調解建議，實體結案之出具調解建議率達100%</w:t>
            </w:r>
            <w:r>
              <w:rPr>
                <w:rFonts w:ascii="標楷體" w:eastAsia="標楷體" w:hAnsi="標楷體" w:hint="eastAsia"/>
                <w:snapToGrid w:val="0"/>
                <w:sz w:val="28"/>
                <w:szCs w:val="28"/>
              </w:rPr>
              <w:t>，</w:t>
            </w:r>
            <w:r w:rsidRPr="00553B3F">
              <w:rPr>
                <w:rFonts w:ascii="標楷體" w:eastAsia="標楷體" w:hAnsi="標楷體" w:hint="eastAsia"/>
                <w:snapToGrid w:val="0"/>
                <w:sz w:val="28"/>
                <w:szCs w:val="28"/>
              </w:rPr>
              <w:t>充分發揮調解功能，促進調解成立之可能。</w:t>
            </w:r>
          </w:p>
        </w:tc>
      </w:tr>
      <w:tr w:rsidR="00515949" w:rsidRPr="004074DA" w:rsidTr="005C4E6E">
        <w:trPr>
          <w:trHeight w:val="979"/>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Times New Roman" w:hAnsi="Times New Roman" w:cs="Times New Roman"/>
                <w:b/>
                <w:sz w:val="28"/>
                <w:szCs w:val="28"/>
              </w:rPr>
            </w:pPr>
            <w:r w:rsidRPr="00174337">
              <w:rPr>
                <w:rFonts w:ascii="標楷體" w:eastAsia="標楷體" w:hAnsi="標楷體" w:hint="eastAsia"/>
                <w:b/>
                <w:snapToGrid w:val="0"/>
                <w:sz w:val="28"/>
                <w:szCs w:val="28"/>
              </w:rPr>
              <w:t>提升採購</w:t>
            </w:r>
            <w:r>
              <w:rPr>
                <w:rFonts w:ascii="標楷體" w:eastAsia="標楷體" w:hAnsi="標楷體" w:hint="eastAsia"/>
                <w:b/>
                <w:snapToGrid w:val="0"/>
                <w:sz w:val="28"/>
                <w:szCs w:val="28"/>
              </w:rPr>
              <w:t>稽核廣度及深度</w:t>
            </w:r>
            <w:r w:rsidRPr="00174337">
              <w:rPr>
                <w:rFonts w:ascii="標楷體" w:eastAsia="標楷體" w:hAnsi="標楷體" w:hint="eastAsia"/>
                <w:b/>
                <w:snapToGrid w:val="0"/>
                <w:sz w:val="28"/>
                <w:szCs w:val="28"/>
              </w:rPr>
              <w:t>，兼具整體</w:t>
            </w:r>
            <w:r>
              <w:rPr>
                <w:rFonts w:ascii="標楷體" w:eastAsia="標楷體" w:hAnsi="標楷體" w:hint="eastAsia"/>
                <w:b/>
                <w:snapToGrid w:val="0"/>
                <w:sz w:val="28"/>
                <w:szCs w:val="28"/>
              </w:rPr>
              <w:t>性及合理性</w:t>
            </w:r>
          </w:p>
        </w:tc>
        <w:tc>
          <w:tcPr>
            <w:tcW w:w="10629" w:type="dxa"/>
          </w:tcPr>
          <w:p w:rsidR="00515949" w:rsidRPr="0049004F" w:rsidRDefault="00515949" w:rsidP="00515949">
            <w:pPr>
              <w:pStyle w:val="a8"/>
              <w:numPr>
                <w:ilvl w:val="0"/>
                <w:numId w:val="27"/>
              </w:numPr>
              <w:tabs>
                <w:tab w:val="left" w:pos="376"/>
                <w:tab w:val="left" w:pos="431"/>
              </w:tabs>
              <w:snapToGrid w:val="0"/>
              <w:spacing w:line="0" w:lineRule="atLeast"/>
              <w:ind w:leftChars="2" w:left="608" w:hangingChars="215" w:hanging="603"/>
              <w:jc w:val="both"/>
              <w:rPr>
                <w:rFonts w:ascii="標楷體" w:eastAsia="標楷體" w:hAnsi="標楷體"/>
                <w:sz w:val="28"/>
                <w:szCs w:val="28"/>
              </w:rPr>
            </w:pPr>
            <w:r>
              <w:rPr>
                <w:rFonts w:ascii="標楷體" w:eastAsia="標楷體" w:hAnsi="標楷體" w:hint="eastAsia"/>
                <w:b/>
                <w:snapToGrid w:val="0"/>
                <w:sz w:val="28"/>
                <w:szCs w:val="28"/>
              </w:rPr>
              <w:t>提升採購稽核廣度及深度</w:t>
            </w:r>
            <w:r>
              <w:rPr>
                <w:rFonts w:ascii="Times New Roman" w:eastAsia="標楷體" w:hAnsi="Times New Roman" w:hint="eastAsia"/>
                <w:sz w:val="28"/>
                <w:szCs w:val="28"/>
              </w:rPr>
              <w:t>：</w:t>
            </w:r>
          </w:p>
          <w:p w:rsidR="00515949" w:rsidRDefault="00515949" w:rsidP="004E6D7D">
            <w:pPr>
              <w:pStyle w:val="a8"/>
              <w:tabs>
                <w:tab w:val="left" w:pos="376"/>
                <w:tab w:val="left" w:pos="431"/>
              </w:tabs>
              <w:snapToGrid w:val="0"/>
              <w:spacing w:line="0" w:lineRule="atLeast"/>
              <w:ind w:leftChars="0" w:left="608"/>
              <w:jc w:val="both"/>
              <w:rPr>
                <w:rFonts w:ascii="標楷體" w:eastAsia="標楷體" w:hAnsi="標楷體"/>
                <w:sz w:val="28"/>
                <w:szCs w:val="28"/>
              </w:rPr>
            </w:pPr>
            <w:r>
              <w:rPr>
                <w:rFonts w:ascii="標楷體" w:eastAsia="標楷體" w:hAnsi="標楷體" w:hint="eastAsia"/>
                <w:snapToGrid w:val="0"/>
                <w:sz w:val="28"/>
                <w:szCs w:val="28"/>
                <w:lang w:eastAsia="zh-HK"/>
              </w:rPr>
              <w:t>以</w:t>
            </w:r>
            <w:r>
              <w:rPr>
                <w:rFonts w:ascii="標楷體" w:eastAsia="標楷體" w:hAnsi="標楷體" w:hint="eastAsia"/>
                <w:snapToGrid w:val="0"/>
                <w:sz w:val="28"/>
                <w:szCs w:val="28"/>
              </w:rPr>
              <w:t>兼具整體面及邏輯面思考，</w:t>
            </w:r>
            <w:r>
              <w:rPr>
                <w:rFonts w:ascii="標楷體" w:eastAsia="標楷體" w:hAnsi="標楷體" w:hint="eastAsia"/>
                <w:sz w:val="28"/>
                <w:szCs w:val="28"/>
              </w:rPr>
              <w:t>提升各採購稽核小組稽核監督成果之廣度及深度，</w:t>
            </w:r>
            <w:r>
              <w:rPr>
                <w:rFonts w:ascii="標楷體" w:eastAsia="標楷體" w:hAnsi="標楷體" w:hint="eastAsia"/>
                <w:snapToGrid w:val="0"/>
                <w:sz w:val="28"/>
                <w:szCs w:val="28"/>
              </w:rPr>
              <w:t>改善以往各採購稽核小組之稽核作業僅就採購程序檢視、未能發掘問題癥結及深入稽核採購之實質問題。</w:t>
            </w:r>
          </w:p>
          <w:p w:rsidR="00515949" w:rsidRDefault="00515949" w:rsidP="00515949">
            <w:pPr>
              <w:pStyle w:val="a8"/>
              <w:numPr>
                <w:ilvl w:val="0"/>
                <w:numId w:val="27"/>
              </w:numPr>
              <w:tabs>
                <w:tab w:val="left" w:pos="376"/>
                <w:tab w:val="left" w:pos="431"/>
              </w:tabs>
              <w:snapToGrid w:val="0"/>
              <w:spacing w:line="0" w:lineRule="atLeast"/>
              <w:ind w:leftChars="2" w:left="608" w:hangingChars="215" w:hanging="603"/>
              <w:jc w:val="both"/>
              <w:rPr>
                <w:rFonts w:ascii="標楷體" w:eastAsia="標楷體" w:hAnsi="標楷體"/>
                <w:sz w:val="28"/>
                <w:szCs w:val="28"/>
              </w:rPr>
            </w:pPr>
            <w:r>
              <w:rPr>
                <w:rFonts w:ascii="標楷體" w:eastAsia="標楷體" w:hAnsi="標楷體" w:hint="eastAsia"/>
                <w:b/>
                <w:sz w:val="28"/>
                <w:szCs w:val="28"/>
              </w:rPr>
              <w:t>整體合理考量，</w:t>
            </w:r>
            <w:r w:rsidRPr="00D446E9">
              <w:rPr>
                <w:rFonts w:ascii="標楷體" w:eastAsia="標楷體" w:hAnsi="標楷體" w:hint="eastAsia"/>
                <w:b/>
                <w:sz w:val="28"/>
                <w:szCs w:val="28"/>
              </w:rPr>
              <w:t>發現問題防患未然</w:t>
            </w:r>
            <w:r>
              <w:rPr>
                <w:rFonts w:ascii="標楷體" w:eastAsia="標楷體" w:hAnsi="標楷體" w:hint="eastAsia"/>
                <w:sz w:val="28"/>
                <w:szCs w:val="28"/>
              </w:rPr>
              <w:t>：</w:t>
            </w:r>
          </w:p>
          <w:p w:rsidR="00515949" w:rsidRDefault="00515949" w:rsidP="004E6D7D">
            <w:pPr>
              <w:pStyle w:val="a8"/>
              <w:tabs>
                <w:tab w:val="left" w:pos="376"/>
                <w:tab w:val="left" w:pos="431"/>
              </w:tabs>
              <w:snapToGrid w:val="0"/>
              <w:spacing w:line="0" w:lineRule="atLeast"/>
              <w:ind w:leftChars="0" w:left="608"/>
              <w:jc w:val="both"/>
              <w:rPr>
                <w:rFonts w:ascii="標楷體" w:eastAsia="標楷體" w:hAnsi="標楷體"/>
                <w:sz w:val="28"/>
                <w:szCs w:val="28"/>
              </w:rPr>
            </w:pPr>
            <w:r>
              <w:rPr>
                <w:rFonts w:ascii="標楷體" w:eastAsia="標楷體" w:hAnsi="標楷體" w:hint="eastAsia"/>
                <w:sz w:val="28"/>
                <w:szCs w:val="28"/>
              </w:rPr>
              <w:t>除導正採購程序外，亦就整體性及合理性予以考量，發現問題並防患未然。</w:t>
            </w:r>
          </w:p>
        </w:tc>
      </w:tr>
      <w:tr w:rsidR="00515949" w:rsidRPr="004074DA" w:rsidTr="005C4E6E">
        <w:trPr>
          <w:trHeight w:val="274"/>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174337" w:rsidRDefault="00515949" w:rsidP="004E6D7D">
            <w:pPr>
              <w:snapToGrid w:val="0"/>
              <w:spacing w:line="0" w:lineRule="atLeast"/>
              <w:jc w:val="both"/>
              <w:rPr>
                <w:rFonts w:ascii="標楷體" w:eastAsia="標楷體" w:hAnsi="標楷體"/>
                <w:b/>
                <w:snapToGrid w:val="0"/>
                <w:sz w:val="28"/>
                <w:szCs w:val="28"/>
              </w:rPr>
            </w:pPr>
            <w:r w:rsidRPr="00174337">
              <w:rPr>
                <w:rFonts w:ascii="標楷體" w:eastAsia="標楷體" w:hAnsi="標楷體" w:hint="eastAsia"/>
                <w:b/>
                <w:snapToGrid w:val="0"/>
                <w:sz w:val="28"/>
                <w:szCs w:val="28"/>
              </w:rPr>
              <w:t>辦理技術鑑定及撰擬失敗案例</w:t>
            </w:r>
          </w:p>
        </w:tc>
        <w:tc>
          <w:tcPr>
            <w:tcW w:w="10629" w:type="dxa"/>
          </w:tcPr>
          <w:p w:rsidR="00515949" w:rsidRDefault="00515949" w:rsidP="00515949">
            <w:pPr>
              <w:pStyle w:val="a8"/>
              <w:numPr>
                <w:ilvl w:val="0"/>
                <w:numId w:val="28"/>
              </w:numPr>
              <w:tabs>
                <w:tab w:val="left" w:pos="376"/>
                <w:tab w:val="left" w:pos="431"/>
              </w:tabs>
              <w:snapToGrid w:val="0"/>
              <w:spacing w:line="0" w:lineRule="atLeast"/>
              <w:ind w:leftChars="2" w:left="608" w:hangingChars="215" w:hanging="603"/>
              <w:jc w:val="both"/>
              <w:rPr>
                <w:rFonts w:ascii="標楷體" w:eastAsia="標楷體" w:hAnsi="標楷體"/>
                <w:snapToGrid w:val="0"/>
                <w:sz w:val="28"/>
                <w:szCs w:val="28"/>
              </w:rPr>
            </w:pPr>
            <w:r w:rsidRPr="00D446E9">
              <w:rPr>
                <w:rFonts w:ascii="標楷體" w:eastAsia="標楷體" w:hAnsi="標楷體" w:hint="eastAsia"/>
                <w:b/>
                <w:snapToGrid w:val="0"/>
                <w:sz w:val="28"/>
                <w:szCs w:val="28"/>
              </w:rPr>
              <w:t>專業鑑定服務</w:t>
            </w:r>
            <w:r>
              <w:rPr>
                <w:rFonts w:ascii="標楷體" w:eastAsia="標楷體" w:hAnsi="標楷體" w:hint="eastAsia"/>
                <w:snapToGrid w:val="0"/>
                <w:sz w:val="28"/>
                <w:szCs w:val="28"/>
              </w:rPr>
              <w:t>：</w:t>
            </w:r>
          </w:p>
          <w:p w:rsidR="00515949" w:rsidRDefault="00515949" w:rsidP="004E6D7D">
            <w:pPr>
              <w:pStyle w:val="a8"/>
              <w:tabs>
                <w:tab w:val="left" w:pos="376"/>
                <w:tab w:val="left" w:pos="431"/>
              </w:tabs>
              <w:snapToGrid w:val="0"/>
              <w:spacing w:line="0" w:lineRule="atLeast"/>
              <w:ind w:leftChars="0" w:left="608"/>
              <w:jc w:val="both"/>
              <w:rPr>
                <w:rFonts w:ascii="標楷體" w:eastAsia="標楷體" w:hAnsi="標楷體"/>
                <w:snapToGrid w:val="0"/>
                <w:sz w:val="28"/>
                <w:szCs w:val="28"/>
              </w:rPr>
            </w:pPr>
            <w:r>
              <w:rPr>
                <w:rFonts w:ascii="標楷體" w:eastAsia="標楷體" w:hAnsi="標楷體" w:hint="eastAsia"/>
                <w:snapToGrid w:val="0"/>
                <w:sz w:val="28"/>
                <w:szCs w:val="28"/>
                <w:lang w:eastAsia="zh-HK"/>
              </w:rPr>
              <w:t>持續</w:t>
            </w:r>
            <w:r>
              <w:rPr>
                <w:rFonts w:ascii="標楷體" w:eastAsia="標楷體" w:hAnsi="標楷體" w:hint="eastAsia"/>
                <w:snapToGrid w:val="0"/>
                <w:sz w:val="28"/>
                <w:szCs w:val="28"/>
              </w:rPr>
              <w:t>提供法院、檢察及調查機關之專業鑑定服務。</w:t>
            </w:r>
          </w:p>
          <w:p w:rsidR="00515949" w:rsidRDefault="00515949" w:rsidP="00515949">
            <w:pPr>
              <w:pStyle w:val="a8"/>
              <w:numPr>
                <w:ilvl w:val="0"/>
                <w:numId w:val="28"/>
              </w:numPr>
              <w:tabs>
                <w:tab w:val="left" w:pos="376"/>
                <w:tab w:val="left" w:pos="431"/>
              </w:tabs>
              <w:snapToGrid w:val="0"/>
              <w:spacing w:line="0" w:lineRule="atLeast"/>
              <w:ind w:leftChars="2" w:left="608" w:hangingChars="215" w:hanging="603"/>
              <w:jc w:val="both"/>
              <w:rPr>
                <w:rFonts w:ascii="標楷體" w:eastAsia="標楷體" w:hAnsi="標楷體"/>
                <w:snapToGrid w:val="0"/>
                <w:sz w:val="28"/>
                <w:szCs w:val="28"/>
              </w:rPr>
            </w:pPr>
            <w:r w:rsidRPr="00D446E9">
              <w:rPr>
                <w:rFonts w:ascii="標楷體" w:eastAsia="標楷體" w:hAnsi="標楷體" w:hint="eastAsia"/>
                <w:b/>
                <w:snapToGrid w:val="0"/>
                <w:sz w:val="28"/>
                <w:szCs w:val="28"/>
              </w:rPr>
              <w:t>整理工程失敗案例</w:t>
            </w:r>
            <w:r>
              <w:rPr>
                <w:rFonts w:ascii="標楷體" w:eastAsia="標楷體" w:hAnsi="標楷體" w:hint="eastAsia"/>
                <w:snapToGrid w:val="0"/>
                <w:sz w:val="28"/>
                <w:szCs w:val="28"/>
              </w:rPr>
              <w:t>：</w:t>
            </w:r>
          </w:p>
          <w:p w:rsidR="00515949" w:rsidRPr="00FF61A5" w:rsidRDefault="00515949" w:rsidP="004E6D7D">
            <w:pPr>
              <w:pStyle w:val="a8"/>
              <w:tabs>
                <w:tab w:val="left" w:pos="376"/>
                <w:tab w:val="left" w:pos="431"/>
              </w:tabs>
              <w:snapToGrid w:val="0"/>
              <w:spacing w:line="0" w:lineRule="atLeast"/>
              <w:ind w:leftChars="0" w:left="608"/>
              <w:jc w:val="both"/>
              <w:rPr>
                <w:rFonts w:ascii="標楷體" w:eastAsia="標楷體" w:hAnsi="標楷體"/>
                <w:snapToGrid w:val="0"/>
                <w:sz w:val="28"/>
                <w:szCs w:val="28"/>
              </w:rPr>
            </w:pPr>
            <w:r>
              <w:rPr>
                <w:rFonts w:ascii="標楷體" w:eastAsia="標楷體" w:hAnsi="標楷體" w:hint="eastAsia"/>
                <w:snapToGrid w:val="0"/>
                <w:sz w:val="28"/>
                <w:szCs w:val="28"/>
              </w:rPr>
              <w:t>將鑑定實例所蒐集之工程實務見解，整理成工程失敗案例，提供各界參考，</w:t>
            </w:r>
            <w:r w:rsidRPr="00FF61A5">
              <w:rPr>
                <w:rFonts w:ascii="標楷體" w:eastAsia="標楷體" w:hAnsi="標楷體" w:hint="eastAsia"/>
                <w:snapToGrid w:val="0"/>
                <w:sz w:val="28"/>
                <w:szCs w:val="28"/>
              </w:rPr>
              <w:t>避免類似</w:t>
            </w:r>
            <w:r w:rsidRPr="00FF61A5">
              <w:rPr>
                <w:rFonts w:ascii="標楷體" w:eastAsia="標楷體" w:hAnsi="標楷體" w:hint="eastAsia"/>
                <w:snapToGrid w:val="0"/>
                <w:sz w:val="28"/>
                <w:szCs w:val="28"/>
                <w:lang w:eastAsia="zh-HK"/>
              </w:rPr>
              <w:t>失敗案例</w:t>
            </w:r>
            <w:r>
              <w:rPr>
                <w:rFonts w:ascii="標楷體" w:eastAsia="標楷體" w:hAnsi="標楷體" w:hint="eastAsia"/>
                <w:snapToGrid w:val="0"/>
                <w:sz w:val="28"/>
                <w:szCs w:val="28"/>
              </w:rPr>
              <w:t>情況再</w:t>
            </w:r>
            <w:r w:rsidRPr="00FF61A5">
              <w:rPr>
                <w:rFonts w:ascii="標楷體" w:eastAsia="標楷體" w:hAnsi="標楷體" w:hint="eastAsia"/>
                <w:snapToGrid w:val="0"/>
                <w:sz w:val="28"/>
                <w:szCs w:val="28"/>
              </w:rPr>
              <w:t>發生。</w:t>
            </w:r>
          </w:p>
        </w:tc>
      </w:tr>
      <w:tr w:rsidR="00515949" w:rsidRPr="004074DA" w:rsidTr="005C4E6E">
        <w:trPr>
          <w:trHeight w:val="274"/>
        </w:trPr>
        <w:tc>
          <w:tcPr>
            <w:tcW w:w="537" w:type="dxa"/>
            <w:vAlign w:val="center"/>
          </w:tcPr>
          <w:p w:rsidR="00515949" w:rsidRPr="00123012" w:rsidRDefault="00515949" w:rsidP="00515949">
            <w:pPr>
              <w:pStyle w:val="a8"/>
              <w:numPr>
                <w:ilvl w:val="0"/>
                <w:numId w:val="35"/>
              </w:numPr>
              <w:snapToGrid w:val="0"/>
              <w:spacing w:line="0" w:lineRule="atLeast"/>
              <w:ind w:leftChars="0"/>
              <w:jc w:val="center"/>
              <w:rPr>
                <w:rFonts w:ascii="標楷體" w:eastAsia="標楷體" w:hAnsi="標楷體" w:cs="Times New Roman"/>
                <w:sz w:val="32"/>
                <w:szCs w:val="32"/>
              </w:rPr>
            </w:pPr>
          </w:p>
        </w:tc>
        <w:tc>
          <w:tcPr>
            <w:tcW w:w="3394" w:type="dxa"/>
            <w:vAlign w:val="center"/>
          </w:tcPr>
          <w:p w:rsidR="00515949" w:rsidRPr="00790D72" w:rsidRDefault="00515949" w:rsidP="004E6D7D">
            <w:pPr>
              <w:snapToGrid w:val="0"/>
              <w:spacing w:line="0" w:lineRule="atLeast"/>
              <w:jc w:val="both"/>
              <w:rPr>
                <w:rFonts w:ascii="標楷體" w:eastAsia="標楷體" w:hAnsi="標楷體"/>
                <w:b/>
                <w:snapToGrid w:val="0"/>
                <w:sz w:val="28"/>
                <w:szCs w:val="28"/>
              </w:rPr>
            </w:pPr>
            <w:r>
              <w:rPr>
                <w:rFonts w:ascii="標楷體" w:eastAsia="標楷體" w:hAnsi="標楷體" w:hint="eastAsia"/>
                <w:b/>
                <w:snapToGrid w:val="0"/>
                <w:sz w:val="28"/>
                <w:szCs w:val="28"/>
              </w:rPr>
              <w:t>精進採購電子化作業，建構友善便利</w:t>
            </w:r>
            <w:r w:rsidRPr="00E404CD">
              <w:rPr>
                <w:rFonts w:ascii="標楷體" w:eastAsia="標楷體" w:hAnsi="標楷體" w:hint="eastAsia"/>
                <w:b/>
                <w:snapToGrid w:val="0"/>
                <w:sz w:val="28"/>
                <w:szCs w:val="28"/>
              </w:rPr>
              <w:t>採購環境</w:t>
            </w:r>
          </w:p>
        </w:tc>
        <w:tc>
          <w:tcPr>
            <w:tcW w:w="10629" w:type="dxa"/>
          </w:tcPr>
          <w:p w:rsidR="00515949" w:rsidRPr="00391311" w:rsidRDefault="00515949" w:rsidP="00515949">
            <w:pPr>
              <w:pStyle w:val="a8"/>
              <w:numPr>
                <w:ilvl w:val="0"/>
                <w:numId w:val="34"/>
              </w:numPr>
              <w:tabs>
                <w:tab w:val="left" w:pos="376"/>
                <w:tab w:val="left" w:pos="431"/>
              </w:tabs>
              <w:snapToGrid w:val="0"/>
              <w:spacing w:line="0" w:lineRule="atLeast"/>
              <w:ind w:leftChars="2" w:left="608" w:hangingChars="215" w:hanging="603"/>
              <w:jc w:val="both"/>
              <w:rPr>
                <w:rFonts w:ascii="標楷體" w:eastAsia="標楷體" w:hAnsi="標楷體"/>
                <w:b/>
                <w:sz w:val="28"/>
                <w:szCs w:val="28"/>
              </w:rPr>
            </w:pPr>
            <w:r>
              <w:rPr>
                <w:rFonts w:ascii="標楷體" w:eastAsia="標楷體" w:hAnsi="標楷體" w:hint="eastAsia"/>
                <w:b/>
                <w:snapToGrid w:val="0"/>
                <w:sz w:val="28"/>
                <w:szCs w:val="28"/>
              </w:rPr>
              <w:t>持續宣導並精進系統功能：</w:t>
            </w:r>
          </w:p>
          <w:p w:rsidR="00515949" w:rsidRPr="00391311" w:rsidRDefault="00515949" w:rsidP="004E6D7D">
            <w:pPr>
              <w:pStyle w:val="a8"/>
              <w:tabs>
                <w:tab w:val="left" w:pos="376"/>
                <w:tab w:val="left" w:pos="431"/>
              </w:tabs>
              <w:snapToGrid w:val="0"/>
              <w:spacing w:line="0" w:lineRule="atLeast"/>
              <w:ind w:leftChars="0" w:left="608"/>
              <w:jc w:val="both"/>
              <w:rPr>
                <w:rFonts w:ascii="標楷體" w:eastAsia="標楷體" w:hAnsi="標楷體"/>
                <w:snapToGrid w:val="0"/>
                <w:sz w:val="28"/>
                <w:szCs w:val="28"/>
              </w:rPr>
            </w:pPr>
            <w:r w:rsidRPr="00391311">
              <w:rPr>
                <w:rFonts w:ascii="標楷體" w:eastAsia="標楷體" w:hAnsi="標楷體" w:hint="eastAsia"/>
                <w:snapToGrid w:val="0"/>
                <w:sz w:val="28"/>
                <w:szCs w:val="28"/>
              </w:rPr>
              <w:t>持續宣導電子押標金機制及公開取得電子報價單採購方式，並精進系統功能。</w:t>
            </w:r>
          </w:p>
          <w:p w:rsidR="00515949" w:rsidRDefault="00515949" w:rsidP="00515949">
            <w:pPr>
              <w:pStyle w:val="a8"/>
              <w:numPr>
                <w:ilvl w:val="0"/>
                <w:numId w:val="34"/>
              </w:numPr>
              <w:tabs>
                <w:tab w:val="left" w:pos="376"/>
                <w:tab w:val="left" w:pos="431"/>
              </w:tabs>
              <w:snapToGrid w:val="0"/>
              <w:spacing w:line="0" w:lineRule="atLeast"/>
              <w:ind w:leftChars="2" w:left="608" w:hangingChars="215" w:hanging="603"/>
              <w:jc w:val="both"/>
              <w:rPr>
                <w:rFonts w:ascii="標楷體" w:eastAsia="標楷體" w:hAnsi="標楷體"/>
                <w:b/>
                <w:sz w:val="28"/>
                <w:szCs w:val="28"/>
              </w:rPr>
            </w:pPr>
            <w:r>
              <w:rPr>
                <w:rFonts w:ascii="標楷體" w:eastAsia="標楷體" w:hAnsi="標楷體" w:hint="eastAsia"/>
                <w:b/>
                <w:sz w:val="28"/>
                <w:szCs w:val="28"/>
              </w:rPr>
              <w:t>預期目標：</w:t>
            </w:r>
          </w:p>
          <w:p w:rsidR="00515949" w:rsidRPr="00790D72" w:rsidRDefault="00515949" w:rsidP="00515949">
            <w:pPr>
              <w:pStyle w:val="a8"/>
              <w:numPr>
                <w:ilvl w:val="1"/>
                <w:numId w:val="34"/>
              </w:numPr>
              <w:tabs>
                <w:tab w:val="left" w:pos="376"/>
                <w:tab w:val="left" w:pos="431"/>
              </w:tabs>
              <w:snapToGrid w:val="0"/>
              <w:spacing w:line="0" w:lineRule="atLeast"/>
              <w:ind w:leftChars="0" w:left="856" w:hanging="856"/>
              <w:jc w:val="both"/>
              <w:rPr>
                <w:rFonts w:ascii="標楷體" w:eastAsia="標楷體" w:hAnsi="標楷體"/>
                <w:sz w:val="28"/>
                <w:szCs w:val="28"/>
              </w:rPr>
            </w:pPr>
            <w:r w:rsidRPr="00790D72">
              <w:rPr>
                <w:rFonts w:ascii="標楷體" w:eastAsia="標楷體" w:hAnsi="標楷體" w:hint="eastAsia"/>
                <w:sz w:val="28"/>
                <w:szCs w:val="28"/>
              </w:rPr>
              <w:t>招標公告載明允許廠商線上繳納押標金之案件數之目標提升至2</w:t>
            </w:r>
            <w:r w:rsidRPr="00790D72">
              <w:rPr>
                <w:rFonts w:ascii="標楷體" w:eastAsia="標楷體" w:hAnsi="標楷體"/>
                <w:sz w:val="28"/>
                <w:szCs w:val="28"/>
              </w:rPr>
              <w:t>5,000</w:t>
            </w:r>
            <w:r w:rsidRPr="00790D72">
              <w:rPr>
                <w:rFonts w:ascii="標楷體" w:eastAsia="標楷體" w:hAnsi="標楷體" w:hint="eastAsia"/>
                <w:sz w:val="28"/>
                <w:szCs w:val="28"/>
              </w:rPr>
              <w:t>件。</w:t>
            </w:r>
          </w:p>
          <w:p w:rsidR="00515949" w:rsidRPr="00391311" w:rsidRDefault="00515949" w:rsidP="00515949">
            <w:pPr>
              <w:pStyle w:val="a8"/>
              <w:numPr>
                <w:ilvl w:val="1"/>
                <w:numId w:val="34"/>
              </w:numPr>
              <w:tabs>
                <w:tab w:val="left" w:pos="376"/>
                <w:tab w:val="left" w:pos="431"/>
              </w:tabs>
              <w:snapToGrid w:val="0"/>
              <w:spacing w:line="0" w:lineRule="atLeast"/>
              <w:ind w:leftChars="0" w:left="856" w:hanging="856"/>
              <w:jc w:val="both"/>
              <w:rPr>
                <w:rFonts w:ascii="標楷體" w:eastAsia="標楷體" w:hAnsi="標楷體"/>
                <w:b/>
                <w:sz w:val="28"/>
                <w:szCs w:val="28"/>
              </w:rPr>
            </w:pPr>
            <w:r w:rsidRPr="00790D72">
              <w:rPr>
                <w:rFonts w:ascii="標楷體" w:eastAsia="標楷體" w:hAnsi="標楷體" w:hint="eastAsia"/>
                <w:sz w:val="28"/>
                <w:szCs w:val="28"/>
              </w:rPr>
              <w:t>各機關以公開取得電子報價單方式辦理之採購案件數占同期可適用案件數比率提升至35%。</w:t>
            </w:r>
          </w:p>
        </w:tc>
      </w:tr>
    </w:tbl>
    <w:p w:rsidR="00515949" w:rsidRPr="001850E8" w:rsidRDefault="00515949" w:rsidP="00515949">
      <w:pPr>
        <w:snapToGrid w:val="0"/>
        <w:rPr>
          <w:rFonts w:ascii="標楷體" w:eastAsia="標楷體" w:hAnsi="標楷體" w:cs="Times New Roman"/>
        </w:rPr>
      </w:pPr>
    </w:p>
    <w:p w:rsidR="00E21E18" w:rsidRPr="00515949" w:rsidRDefault="00E21E18" w:rsidP="00592E5A">
      <w:pPr>
        <w:snapToGrid w:val="0"/>
        <w:rPr>
          <w:rFonts w:ascii="標楷體" w:eastAsia="標楷體" w:hAnsi="標楷體" w:cs="Times New Roman"/>
        </w:rPr>
      </w:pPr>
    </w:p>
    <w:sectPr w:rsidR="00E21E18" w:rsidRPr="00515949" w:rsidSect="00615E32">
      <w:headerReference w:type="default" r:id="rId8"/>
      <w:footerReference w:type="default" r:id="rId9"/>
      <w:pgSz w:w="16838" w:h="11906" w:orient="landscape"/>
      <w:pgMar w:top="851" w:right="1134" w:bottom="851" w:left="1134" w:header="568" w:footer="5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FE" w:rsidRDefault="00A605FE" w:rsidP="00456182">
      <w:r>
        <w:separator/>
      </w:r>
    </w:p>
  </w:endnote>
  <w:endnote w:type="continuationSeparator" w:id="0">
    <w:p w:rsidR="00A605FE" w:rsidRDefault="00A605FE" w:rsidP="0045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74234"/>
      <w:docPartObj>
        <w:docPartGallery w:val="Page Numbers (Bottom of Page)"/>
        <w:docPartUnique/>
      </w:docPartObj>
    </w:sdtPr>
    <w:sdtEndPr/>
    <w:sdtContent>
      <w:p w:rsidR="00615E32" w:rsidRDefault="00A605FE">
        <w:pPr>
          <w:pStyle w:val="a6"/>
          <w:jc w:val="center"/>
        </w:pPr>
        <w:r>
          <w:fldChar w:fldCharType="begin"/>
        </w:r>
        <w:r>
          <w:instrText>PAGE   \* MERGEFORMAT</w:instrText>
        </w:r>
        <w:r>
          <w:fldChar w:fldCharType="separate"/>
        </w:r>
        <w:r w:rsidR="005C4E6E" w:rsidRPr="005C4E6E">
          <w:rPr>
            <w:noProof/>
            <w:lang w:val="zh-TW"/>
          </w:rPr>
          <w:t>2</w:t>
        </w:r>
        <w:r>
          <w:fldChar w:fldCharType="end"/>
        </w:r>
      </w:p>
    </w:sdtContent>
  </w:sdt>
  <w:p w:rsidR="00615E32" w:rsidRDefault="005C4E6E" w:rsidP="00615E3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FE" w:rsidRDefault="00A605FE" w:rsidP="00456182">
      <w:r>
        <w:separator/>
      </w:r>
    </w:p>
  </w:footnote>
  <w:footnote w:type="continuationSeparator" w:id="0">
    <w:p w:rsidR="00A605FE" w:rsidRDefault="00A605FE" w:rsidP="0045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4D7D3C" w:rsidRDefault="00A605FE" w:rsidP="00615E32">
    <w:pPr>
      <w:pStyle w:val="a4"/>
      <w:jc w:val="center"/>
      <w:rPr>
        <w:b/>
      </w:rPr>
    </w:pPr>
    <w:r w:rsidRPr="004D7D3C">
      <w:rPr>
        <w:rFonts w:ascii="標楷體" w:eastAsia="標楷體" w:hAnsi="標楷體" w:cs="Times New Roman"/>
        <w:b/>
        <w:sz w:val="48"/>
        <w:szCs w:val="48"/>
      </w:rPr>
      <w:t>行政院公共工程委員會</w:t>
    </w:r>
    <w:r w:rsidRPr="004D7D3C">
      <w:rPr>
        <w:rFonts w:ascii="標楷體" w:eastAsia="標楷體" w:hAnsi="標楷體" w:cs="Times New Roman" w:hint="eastAsia"/>
        <w:b/>
        <w:sz w:val="48"/>
        <w:szCs w:val="48"/>
      </w:rPr>
      <w:t>110</w:t>
    </w:r>
    <w:r w:rsidRPr="004D7D3C">
      <w:rPr>
        <w:rFonts w:ascii="標楷體" w:eastAsia="標楷體" w:hAnsi="標楷體" w:cs="Times New Roman"/>
        <w:b/>
        <w:sz w:val="48"/>
        <w:szCs w:val="48"/>
      </w:rPr>
      <w:t>年度</w:t>
    </w:r>
    <w:r w:rsidRPr="004D7D3C">
      <w:rPr>
        <w:rFonts w:ascii="標楷體" w:eastAsia="標楷體" w:hAnsi="標楷體" w:cs="Times New Roman" w:hint="eastAsia"/>
        <w:b/>
        <w:sz w:val="48"/>
        <w:szCs w:val="48"/>
      </w:rPr>
      <w:t>政策推</w:t>
    </w:r>
    <w:r w:rsidRPr="004D7D3C">
      <w:rPr>
        <w:rFonts w:ascii="標楷體" w:eastAsia="標楷體" w:hAnsi="標楷體" w:cs="Times New Roman"/>
        <w:b/>
        <w:sz w:val="48"/>
        <w:szCs w:val="48"/>
      </w:rPr>
      <w:t>動方向一覽表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AC4"/>
    <w:multiLevelType w:val="hybridMultilevel"/>
    <w:tmpl w:val="AC36FEE2"/>
    <w:lvl w:ilvl="0" w:tplc="D0C0EF6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C4C43"/>
    <w:multiLevelType w:val="hybridMultilevel"/>
    <w:tmpl w:val="D86664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C7A13"/>
    <w:multiLevelType w:val="hybridMultilevel"/>
    <w:tmpl w:val="12D4AC84"/>
    <w:lvl w:ilvl="0" w:tplc="B60EAA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952FA"/>
    <w:multiLevelType w:val="hybridMultilevel"/>
    <w:tmpl w:val="D6D6613A"/>
    <w:lvl w:ilvl="0" w:tplc="48E61AB4">
      <w:start w:val="1"/>
      <w:numFmt w:val="taiwaneseCountingThousand"/>
      <w:lvlText w:val="%1、"/>
      <w:lvlJc w:val="left"/>
      <w:pPr>
        <w:tabs>
          <w:tab w:val="num" w:pos="727"/>
        </w:tabs>
        <w:ind w:left="727" w:hanging="720"/>
      </w:pPr>
      <w:rPr>
        <w:rFonts w:cs="Times New Roman"/>
      </w:rPr>
    </w:lvl>
    <w:lvl w:ilvl="1" w:tplc="04090019">
      <w:start w:val="1"/>
      <w:numFmt w:val="ideographTraditional"/>
      <w:lvlText w:val="%2、"/>
      <w:lvlJc w:val="left"/>
      <w:pPr>
        <w:tabs>
          <w:tab w:val="num" w:pos="967"/>
        </w:tabs>
        <w:ind w:left="967" w:hanging="480"/>
      </w:pPr>
      <w:rPr>
        <w:rFonts w:cs="Times New Roman"/>
      </w:rPr>
    </w:lvl>
    <w:lvl w:ilvl="2" w:tplc="0409001B">
      <w:start w:val="1"/>
      <w:numFmt w:val="lowerRoman"/>
      <w:lvlText w:val="%3."/>
      <w:lvlJc w:val="right"/>
      <w:pPr>
        <w:tabs>
          <w:tab w:val="num" w:pos="1447"/>
        </w:tabs>
        <w:ind w:left="1447" w:hanging="480"/>
      </w:pPr>
      <w:rPr>
        <w:rFonts w:cs="Times New Roman"/>
      </w:rPr>
    </w:lvl>
    <w:lvl w:ilvl="3" w:tplc="0409000F">
      <w:start w:val="1"/>
      <w:numFmt w:val="decimal"/>
      <w:lvlText w:val="%4."/>
      <w:lvlJc w:val="left"/>
      <w:pPr>
        <w:tabs>
          <w:tab w:val="num" w:pos="1927"/>
        </w:tabs>
        <w:ind w:left="1927" w:hanging="480"/>
      </w:pPr>
      <w:rPr>
        <w:rFonts w:cs="Times New Roman"/>
      </w:rPr>
    </w:lvl>
    <w:lvl w:ilvl="4" w:tplc="04090019">
      <w:start w:val="1"/>
      <w:numFmt w:val="ideographTraditional"/>
      <w:lvlText w:val="%5、"/>
      <w:lvlJc w:val="left"/>
      <w:pPr>
        <w:tabs>
          <w:tab w:val="num" w:pos="2407"/>
        </w:tabs>
        <w:ind w:left="2407" w:hanging="480"/>
      </w:pPr>
      <w:rPr>
        <w:rFonts w:cs="Times New Roman"/>
      </w:rPr>
    </w:lvl>
    <w:lvl w:ilvl="5" w:tplc="0409001B">
      <w:start w:val="1"/>
      <w:numFmt w:val="lowerRoman"/>
      <w:lvlText w:val="%6."/>
      <w:lvlJc w:val="right"/>
      <w:pPr>
        <w:tabs>
          <w:tab w:val="num" w:pos="2887"/>
        </w:tabs>
        <w:ind w:left="2887" w:hanging="480"/>
      </w:pPr>
      <w:rPr>
        <w:rFonts w:cs="Times New Roman"/>
      </w:rPr>
    </w:lvl>
    <w:lvl w:ilvl="6" w:tplc="0409000F">
      <w:start w:val="1"/>
      <w:numFmt w:val="decimal"/>
      <w:lvlText w:val="%7."/>
      <w:lvlJc w:val="left"/>
      <w:pPr>
        <w:tabs>
          <w:tab w:val="num" w:pos="3367"/>
        </w:tabs>
        <w:ind w:left="3367" w:hanging="480"/>
      </w:pPr>
      <w:rPr>
        <w:rFonts w:cs="Times New Roman"/>
      </w:rPr>
    </w:lvl>
    <w:lvl w:ilvl="7" w:tplc="04090019">
      <w:start w:val="1"/>
      <w:numFmt w:val="ideographTraditional"/>
      <w:lvlText w:val="%8、"/>
      <w:lvlJc w:val="left"/>
      <w:pPr>
        <w:tabs>
          <w:tab w:val="num" w:pos="3847"/>
        </w:tabs>
        <w:ind w:left="3847" w:hanging="480"/>
      </w:pPr>
      <w:rPr>
        <w:rFonts w:cs="Times New Roman"/>
      </w:rPr>
    </w:lvl>
    <w:lvl w:ilvl="8" w:tplc="0409001B">
      <w:start w:val="1"/>
      <w:numFmt w:val="lowerRoman"/>
      <w:lvlText w:val="%9."/>
      <w:lvlJc w:val="right"/>
      <w:pPr>
        <w:tabs>
          <w:tab w:val="num" w:pos="4327"/>
        </w:tabs>
        <w:ind w:left="4327" w:hanging="480"/>
      </w:pPr>
      <w:rPr>
        <w:rFonts w:cs="Times New Roman"/>
      </w:rPr>
    </w:lvl>
  </w:abstractNum>
  <w:abstractNum w:abstractNumId="4">
    <w:nsid w:val="07D23A68"/>
    <w:multiLevelType w:val="hybridMultilevel"/>
    <w:tmpl w:val="BC909144"/>
    <w:lvl w:ilvl="0" w:tplc="04090015">
      <w:start w:val="1"/>
      <w:numFmt w:val="taiwaneseCountingThousand"/>
      <w:lvlText w:val="%1、"/>
      <w:lvlJc w:val="left"/>
      <w:pPr>
        <w:ind w:left="480" w:hanging="480"/>
      </w:pPr>
    </w:lvl>
    <w:lvl w:ilvl="1" w:tplc="B60EAA48">
      <w:start w:val="1"/>
      <w:numFmt w:val="taiwaneseCountingThousand"/>
      <w:lvlText w:val="(%2)"/>
      <w:lvlJc w:val="left"/>
      <w:pPr>
        <w:ind w:left="535" w:hanging="480"/>
      </w:pPr>
      <w:rPr>
        <w:rFonts w:hint="eastAsia"/>
      </w:rPr>
    </w:lvl>
    <w:lvl w:ilvl="2" w:tplc="04090015">
      <w:start w:val="1"/>
      <w:numFmt w:val="taiwaneseCountingThousand"/>
      <w:lvlText w:val="%3、"/>
      <w:lvlJc w:val="left"/>
      <w:pPr>
        <w:ind w:left="1015" w:hanging="480"/>
      </w:pPr>
      <w:rPr>
        <w:rFonts w:hint="eastAsia"/>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nsid w:val="0FCE0A37"/>
    <w:multiLevelType w:val="hybridMultilevel"/>
    <w:tmpl w:val="102CB412"/>
    <w:lvl w:ilvl="0" w:tplc="6E58BC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AE283F"/>
    <w:multiLevelType w:val="hybridMultilevel"/>
    <w:tmpl w:val="4F2CB9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633C80"/>
    <w:multiLevelType w:val="hybridMultilevel"/>
    <w:tmpl w:val="6C46576C"/>
    <w:lvl w:ilvl="0" w:tplc="04090015">
      <w:start w:val="1"/>
      <w:numFmt w:val="taiwaneseCountingThousand"/>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8">
    <w:nsid w:val="1568796E"/>
    <w:multiLevelType w:val="hybridMultilevel"/>
    <w:tmpl w:val="8DCC78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424A4D"/>
    <w:multiLevelType w:val="hybridMultilevel"/>
    <w:tmpl w:val="96E67CC6"/>
    <w:lvl w:ilvl="0" w:tplc="EBD28C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0E6470"/>
    <w:multiLevelType w:val="hybridMultilevel"/>
    <w:tmpl w:val="BBA8D214"/>
    <w:lvl w:ilvl="0" w:tplc="32E86DF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415443"/>
    <w:multiLevelType w:val="hybridMultilevel"/>
    <w:tmpl w:val="A62676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13099C"/>
    <w:multiLevelType w:val="hybridMultilevel"/>
    <w:tmpl w:val="03D690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D25052"/>
    <w:multiLevelType w:val="hybridMultilevel"/>
    <w:tmpl w:val="212040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AF5F9A"/>
    <w:multiLevelType w:val="hybridMultilevel"/>
    <w:tmpl w:val="102CB412"/>
    <w:lvl w:ilvl="0" w:tplc="6E58BC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0151E4"/>
    <w:multiLevelType w:val="hybridMultilevel"/>
    <w:tmpl w:val="84EA82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684046"/>
    <w:multiLevelType w:val="hybridMultilevel"/>
    <w:tmpl w:val="B86A389C"/>
    <w:lvl w:ilvl="0" w:tplc="04090015">
      <w:start w:val="1"/>
      <w:numFmt w:val="taiwaneseCountingThousand"/>
      <w:lvlText w:val="%1、"/>
      <w:lvlJc w:val="left"/>
      <w:pPr>
        <w:ind w:left="480" w:hanging="480"/>
      </w:pPr>
    </w:lvl>
    <w:lvl w:ilvl="1" w:tplc="2B442A90">
      <w:start w:val="1"/>
      <w:numFmt w:val="taiwaneseCountingThousand"/>
      <w:lvlText w:val="（%2）"/>
      <w:lvlJc w:val="left"/>
      <w:pPr>
        <w:ind w:left="1260" w:hanging="7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4932BA"/>
    <w:multiLevelType w:val="hybridMultilevel"/>
    <w:tmpl w:val="AAF283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BB452F"/>
    <w:multiLevelType w:val="hybridMultilevel"/>
    <w:tmpl w:val="28DCC790"/>
    <w:lvl w:ilvl="0" w:tplc="44223770">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3EDC432C"/>
    <w:multiLevelType w:val="hybridMultilevel"/>
    <w:tmpl w:val="62C8E8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53056E"/>
    <w:multiLevelType w:val="hybridMultilevel"/>
    <w:tmpl w:val="F21E1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26577E"/>
    <w:multiLevelType w:val="hybridMultilevel"/>
    <w:tmpl w:val="D062E6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240FF8"/>
    <w:multiLevelType w:val="hybridMultilevel"/>
    <w:tmpl w:val="8A5C5AFE"/>
    <w:lvl w:ilvl="0" w:tplc="952AD3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8C11E5"/>
    <w:multiLevelType w:val="hybridMultilevel"/>
    <w:tmpl w:val="4EF0D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236304"/>
    <w:multiLevelType w:val="hybridMultilevel"/>
    <w:tmpl w:val="CBB6AD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E87034"/>
    <w:multiLevelType w:val="hybridMultilevel"/>
    <w:tmpl w:val="D97AB66C"/>
    <w:lvl w:ilvl="0" w:tplc="38349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BC334D"/>
    <w:multiLevelType w:val="hybridMultilevel"/>
    <w:tmpl w:val="B7D4CBFE"/>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630D4784"/>
    <w:multiLevelType w:val="hybridMultilevel"/>
    <w:tmpl w:val="CCC086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9D3781"/>
    <w:multiLevelType w:val="hybridMultilevel"/>
    <w:tmpl w:val="12D4AC84"/>
    <w:lvl w:ilvl="0" w:tplc="B60EAA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E9667F"/>
    <w:multiLevelType w:val="hybridMultilevel"/>
    <w:tmpl w:val="193A0D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A07F5C"/>
    <w:multiLevelType w:val="hybridMultilevel"/>
    <w:tmpl w:val="7EE6AEA8"/>
    <w:lvl w:ilvl="0" w:tplc="04090015">
      <w:start w:val="1"/>
      <w:numFmt w:val="taiwaneseCountingThousand"/>
      <w:lvlText w:val="%1、"/>
      <w:lvlJc w:val="left"/>
      <w:pPr>
        <w:ind w:left="487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403AAD"/>
    <w:multiLevelType w:val="hybridMultilevel"/>
    <w:tmpl w:val="5B1831F6"/>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796B5ABE"/>
    <w:multiLevelType w:val="hybridMultilevel"/>
    <w:tmpl w:val="03D690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92290"/>
    <w:multiLevelType w:val="hybridMultilevel"/>
    <w:tmpl w:val="D062E6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A93F13"/>
    <w:multiLevelType w:val="hybridMultilevel"/>
    <w:tmpl w:val="193A0D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6"/>
  </w:num>
  <w:num w:numId="13">
    <w:abstractNumId w:val="13"/>
  </w:num>
  <w:num w:numId="14">
    <w:abstractNumId w:val="20"/>
  </w:num>
  <w:num w:numId="15">
    <w:abstractNumId w:val="25"/>
  </w:num>
  <w:num w:numId="16">
    <w:abstractNumId w:val="17"/>
  </w:num>
  <w:num w:numId="17">
    <w:abstractNumId w:val="15"/>
  </w:num>
  <w:num w:numId="18">
    <w:abstractNumId w:val="24"/>
  </w:num>
  <w:num w:numId="19">
    <w:abstractNumId w:val="33"/>
  </w:num>
  <w:num w:numId="20">
    <w:abstractNumId w:val="12"/>
  </w:num>
  <w:num w:numId="21">
    <w:abstractNumId w:val="32"/>
  </w:num>
  <w:num w:numId="22">
    <w:abstractNumId w:val="27"/>
  </w:num>
  <w:num w:numId="23">
    <w:abstractNumId w:val="28"/>
  </w:num>
  <w:num w:numId="24">
    <w:abstractNumId w:val="0"/>
  </w:num>
  <w:num w:numId="25">
    <w:abstractNumId w:val="21"/>
  </w:num>
  <w:num w:numId="26">
    <w:abstractNumId w:val="3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1"/>
  </w:num>
  <w:num w:numId="31">
    <w:abstractNumId w:val="4"/>
  </w:num>
  <w:num w:numId="32">
    <w:abstractNumId w:val="23"/>
  </w:num>
  <w:num w:numId="33">
    <w:abstractNumId w:val="8"/>
  </w:num>
  <w:num w:numId="34">
    <w:abstractNumId w:val="16"/>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F0"/>
    <w:rsid w:val="00001860"/>
    <w:rsid w:val="0001726D"/>
    <w:rsid w:val="000440F0"/>
    <w:rsid w:val="00045808"/>
    <w:rsid w:val="000752DB"/>
    <w:rsid w:val="000766D4"/>
    <w:rsid w:val="000928BB"/>
    <w:rsid w:val="000C704D"/>
    <w:rsid w:val="000E7B42"/>
    <w:rsid w:val="00112E78"/>
    <w:rsid w:val="00154F5C"/>
    <w:rsid w:val="00170589"/>
    <w:rsid w:val="00171151"/>
    <w:rsid w:val="001850E8"/>
    <w:rsid w:val="001932F5"/>
    <w:rsid w:val="001A6B01"/>
    <w:rsid w:val="001C15E5"/>
    <w:rsid w:val="001D0AA3"/>
    <w:rsid w:val="00232A4F"/>
    <w:rsid w:val="00262EA1"/>
    <w:rsid w:val="00267E58"/>
    <w:rsid w:val="002862F5"/>
    <w:rsid w:val="00293058"/>
    <w:rsid w:val="002B29A2"/>
    <w:rsid w:val="002E1A19"/>
    <w:rsid w:val="002F015E"/>
    <w:rsid w:val="0036213D"/>
    <w:rsid w:val="003A2966"/>
    <w:rsid w:val="00420649"/>
    <w:rsid w:val="004255B8"/>
    <w:rsid w:val="0045140F"/>
    <w:rsid w:val="00454155"/>
    <w:rsid w:val="00456182"/>
    <w:rsid w:val="00456BE2"/>
    <w:rsid w:val="004608BC"/>
    <w:rsid w:val="00465AF7"/>
    <w:rsid w:val="00472D6F"/>
    <w:rsid w:val="00481283"/>
    <w:rsid w:val="00486460"/>
    <w:rsid w:val="004C402F"/>
    <w:rsid w:val="004C5FEA"/>
    <w:rsid w:val="004D3557"/>
    <w:rsid w:val="004D4AEB"/>
    <w:rsid w:val="004E0F2B"/>
    <w:rsid w:val="00515949"/>
    <w:rsid w:val="005315F9"/>
    <w:rsid w:val="0054063D"/>
    <w:rsid w:val="00571706"/>
    <w:rsid w:val="00584A6B"/>
    <w:rsid w:val="00592E5A"/>
    <w:rsid w:val="005A52F9"/>
    <w:rsid w:val="005B25A0"/>
    <w:rsid w:val="005C4E6E"/>
    <w:rsid w:val="005D4E87"/>
    <w:rsid w:val="005D7EF1"/>
    <w:rsid w:val="005F1C5D"/>
    <w:rsid w:val="00622352"/>
    <w:rsid w:val="00651C3F"/>
    <w:rsid w:val="00661B3F"/>
    <w:rsid w:val="00671003"/>
    <w:rsid w:val="00684DD4"/>
    <w:rsid w:val="006B61BA"/>
    <w:rsid w:val="006F042B"/>
    <w:rsid w:val="007A4659"/>
    <w:rsid w:val="007C1DD2"/>
    <w:rsid w:val="007D776D"/>
    <w:rsid w:val="00800F0F"/>
    <w:rsid w:val="00803C26"/>
    <w:rsid w:val="00820EA6"/>
    <w:rsid w:val="00821F5B"/>
    <w:rsid w:val="00824FA9"/>
    <w:rsid w:val="008330DD"/>
    <w:rsid w:val="00841377"/>
    <w:rsid w:val="00842DA0"/>
    <w:rsid w:val="00843E10"/>
    <w:rsid w:val="00877309"/>
    <w:rsid w:val="008829AC"/>
    <w:rsid w:val="008A5CBE"/>
    <w:rsid w:val="008A6DB6"/>
    <w:rsid w:val="008B3725"/>
    <w:rsid w:val="008C0BBA"/>
    <w:rsid w:val="008C0E27"/>
    <w:rsid w:val="008D3752"/>
    <w:rsid w:val="008E71AA"/>
    <w:rsid w:val="00917533"/>
    <w:rsid w:val="00925003"/>
    <w:rsid w:val="00944505"/>
    <w:rsid w:val="00974C65"/>
    <w:rsid w:val="009E6908"/>
    <w:rsid w:val="00A12572"/>
    <w:rsid w:val="00A47478"/>
    <w:rsid w:val="00A54EA4"/>
    <w:rsid w:val="00A605FE"/>
    <w:rsid w:val="00A76548"/>
    <w:rsid w:val="00AA1A09"/>
    <w:rsid w:val="00AD2F05"/>
    <w:rsid w:val="00B1724E"/>
    <w:rsid w:val="00B23357"/>
    <w:rsid w:val="00B36B21"/>
    <w:rsid w:val="00B45AAF"/>
    <w:rsid w:val="00B57393"/>
    <w:rsid w:val="00B800F8"/>
    <w:rsid w:val="00B810D4"/>
    <w:rsid w:val="00BA167C"/>
    <w:rsid w:val="00BD700E"/>
    <w:rsid w:val="00BD7E48"/>
    <w:rsid w:val="00BE34ED"/>
    <w:rsid w:val="00C0200A"/>
    <w:rsid w:val="00C3164D"/>
    <w:rsid w:val="00CB21EC"/>
    <w:rsid w:val="00CE6A5F"/>
    <w:rsid w:val="00D0107B"/>
    <w:rsid w:val="00D0145C"/>
    <w:rsid w:val="00D3464E"/>
    <w:rsid w:val="00D36557"/>
    <w:rsid w:val="00D41487"/>
    <w:rsid w:val="00D54F95"/>
    <w:rsid w:val="00D75D48"/>
    <w:rsid w:val="00D86F5C"/>
    <w:rsid w:val="00DD0E63"/>
    <w:rsid w:val="00DD5A1C"/>
    <w:rsid w:val="00E00294"/>
    <w:rsid w:val="00E002B7"/>
    <w:rsid w:val="00E21E18"/>
    <w:rsid w:val="00E27D83"/>
    <w:rsid w:val="00E35399"/>
    <w:rsid w:val="00E36FB6"/>
    <w:rsid w:val="00E82FB3"/>
    <w:rsid w:val="00EC2FE8"/>
    <w:rsid w:val="00EE30CC"/>
    <w:rsid w:val="00F056B8"/>
    <w:rsid w:val="00F1382A"/>
    <w:rsid w:val="00F225E4"/>
    <w:rsid w:val="00F358BB"/>
    <w:rsid w:val="00F80A80"/>
    <w:rsid w:val="00FA6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3A50348-A2E2-416E-B712-7A243C3C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6182"/>
    <w:pPr>
      <w:tabs>
        <w:tab w:val="center" w:pos="4153"/>
        <w:tab w:val="right" w:pos="8306"/>
      </w:tabs>
      <w:snapToGrid w:val="0"/>
    </w:pPr>
    <w:rPr>
      <w:sz w:val="20"/>
      <w:szCs w:val="20"/>
    </w:rPr>
  </w:style>
  <w:style w:type="character" w:customStyle="1" w:styleId="a5">
    <w:name w:val="頁首 字元"/>
    <w:basedOn w:val="a0"/>
    <w:link w:val="a4"/>
    <w:uiPriority w:val="99"/>
    <w:rsid w:val="00456182"/>
    <w:rPr>
      <w:sz w:val="20"/>
      <w:szCs w:val="20"/>
    </w:rPr>
  </w:style>
  <w:style w:type="paragraph" w:styleId="a6">
    <w:name w:val="footer"/>
    <w:basedOn w:val="a"/>
    <w:link w:val="a7"/>
    <w:uiPriority w:val="99"/>
    <w:unhideWhenUsed/>
    <w:rsid w:val="00456182"/>
    <w:pPr>
      <w:tabs>
        <w:tab w:val="center" w:pos="4153"/>
        <w:tab w:val="right" w:pos="8306"/>
      </w:tabs>
      <w:snapToGrid w:val="0"/>
    </w:pPr>
    <w:rPr>
      <w:sz w:val="20"/>
      <w:szCs w:val="20"/>
    </w:rPr>
  </w:style>
  <w:style w:type="character" w:customStyle="1" w:styleId="a7">
    <w:name w:val="頁尾 字元"/>
    <w:basedOn w:val="a0"/>
    <w:link w:val="a6"/>
    <w:uiPriority w:val="99"/>
    <w:rsid w:val="00456182"/>
    <w:rPr>
      <w:sz w:val="20"/>
      <w:szCs w:val="20"/>
    </w:rPr>
  </w:style>
  <w:style w:type="paragraph" w:styleId="a8">
    <w:name w:val="List Paragraph"/>
    <w:basedOn w:val="a"/>
    <w:uiPriority w:val="34"/>
    <w:qFormat/>
    <w:rsid w:val="001850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9C3F-DED4-4D97-AC1B-CA231E39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黃賜琳</dc:creator>
  <cp:lastModifiedBy>劉家鴻</cp:lastModifiedBy>
  <cp:revision>2</cp:revision>
  <cp:lastPrinted>2020-12-25T10:12:00Z</cp:lastPrinted>
  <dcterms:created xsi:type="dcterms:W3CDTF">2021-01-05T02:35:00Z</dcterms:created>
  <dcterms:modified xsi:type="dcterms:W3CDTF">2021-01-05T02:35:00Z</dcterms:modified>
</cp:coreProperties>
</file>