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2A4" w:rsidRPr="005307BC" w:rsidRDefault="00EB62A4" w:rsidP="00EB62A4">
      <w:pPr>
        <w:pStyle w:val="a6"/>
        <w:adjustRightInd/>
        <w:snapToGrid/>
        <w:spacing w:before="0" w:line="240" w:lineRule="auto"/>
        <w:ind w:left="0" w:firstLine="0"/>
        <w:jc w:val="both"/>
        <w:rPr>
          <w:rFonts w:hint="eastAsia"/>
          <w:sz w:val="24"/>
          <w:szCs w:val="24"/>
        </w:rPr>
      </w:pPr>
      <w:r w:rsidRPr="00D65969">
        <w:rPr>
          <w:sz w:val="40"/>
          <w:szCs w:val="40"/>
        </w:rPr>
        <w:t>技師懲戒委員會及</w:t>
      </w:r>
      <w:r w:rsidRPr="005307BC">
        <w:rPr>
          <w:rFonts w:ascii="標楷體" w:hAnsi="標楷體"/>
          <w:noProof w:val="0"/>
          <w:kern w:val="2"/>
          <w:sz w:val="40"/>
          <w:szCs w:val="40"/>
        </w:rPr>
        <w:t>技師懲戒覆審委員會組織及審議規則</w:t>
      </w:r>
      <w:r w:rsidRPr="005307BC">
        <w:rPr>
          <w:rFonts w:ascii="標楷體" w:hAnsi="標楷體" w:hint="eastAsia"/>
          <w:noProof w:val="0"/>
          <w:kern w:val="2"/>
          <w:sz w:val="40"/>
          <w:szCs w:val="40"/>
        </w:rPr>
        <w:t>第二十一條修正總</w:t>
      </w:r>
      <w:r w:rsidRPr="000A1485">
        <w:rPr>
          <w:rFonts w:hint="eastAsia"/>
          <w:sz w:val="40"/>
          <w:szCs w:val="40"/>
        </w:rPr>
        <w:t>說明</w:t>
      </w:r>
    </w:p>
    <w:p w:rsidR="00EB62A4" w:rsidRPr="005307BC" w:rsidRDefault="00EB62A4" w:rsidP="00EB62A4">
      <w:pPr>
        <w:pStyle w:val="a7"/>
        <w:adjustRightInd/>
        <w:snapToGrid/>
        <w:spacing w:beforeLines="50" w:line="460" w:lineRule="exact"/>
        <w:ind w:left="0" w:firstLineChars="200" w:firstLine="544"/>
        <w:jc w:val="both"/>
        <w:rPr>
          <w:rFonts w:ascii="標楷體" w:hAnsi="標楷體" w:hint="eastAsia"/>
          <w:noProof w:val="0"/>
          <w:kern w:val="2"/>
          <w:sz w:val="28"/>
          <w:szCs w:val="28"/>
        </w:rPr>
      </w:pPr>
      <w:bookmarkStart w:id="0" w:name="說明"/>
      <w:bookmarkStart w:id="1" w:name="說明sue"/>
      <w:bookmarkEnd w:id="0"/>
      <w:bookmarkEnd w:id="1"/>
      <w:r w:rsidRPr="00D65969">
        <w:rPr>
          <w:rFonts w:ascii="標楷體"/>
          <w:spacing w:val="-4"/>
          <w:sz w:val="28"/>
          <w:szCs w:val="28"/>
        </w:rPr>
        <w:t>技</w:t>
      </w:r>
      <w:r w:rsidRPr="005307BC">
        <w:rPr>
          <w:rFonts w:ascii="標楷體" w:hAnsi="標楷體"/>
          <w:noProof w:val="0"/>
          <w:kern w:val="2"/>
          <w:sz w:val="28"/>
          <w:szCs w:val="28"/>
        </w:rPr>
        <w:t>師懲戒委員會及技師懲戒覆審委員會組織及審議規則</w:t>
      </w:r>
      <w:r w:rsidRPr="005307BC">
        <w:rPr>
          <w:rFonts w:ascii="標楷體" w:hAnsi="標楷體" w:hint="eastAsia"/>
          <w:noProof w:val="0"/>
          <w:kern w:val="2"/>
          <w:sz w:val="28"/>
          <w:szCs w:val="28"/>
        </w:rPr>
        <w:t>(以下簡稱本規則)自六十三年九月十九日訂定發布，歷經十次修正，最近一次修正發布日期為一百零一年三月六日。為配合一百零七年五月二十三日修正公布之法務部組織法修正第五條、法院組織法增訂第一百十四條之二，有關各</w:t>
      </w:r>
      <w:r>
        <w:rPr>
          <w:rFonts w:ascii="標楷體" w:hAnsi="標楷體" w:hint="eastAsia"/>
          <w:noProof w:val="0"/>
          <w:kern w:val="2"/>
          <w:sz w:val="28"/>
          <w:szCs w:val="28"/>
        </w:rPr>
        <w:t>級</w:t>
      </w:r>
      <w:r w:rsidRPr="005307BC">
        <w:rPr>
          <w:rFonts w:ascii="標楷體" w:hAnsi="標楷體" w:hint="eastAsia"/>
          <w:noProof w:val="0"/>
          <w:kern w:val="2"/>
          <w:sz w:val="28"/>
          <w:szCs w:val="28"/>
        </w:rPr>
        <w:t>檢察機關名銜「去法院化」，</w:t>
      </w:r>
      <w:proofErr w:type="gramStart"/>
      <w:r w:rsidRPr="005307BC">
        <w:rPr>
          <w:rFonts w:ascii="標楷體" w:hAnsi="標楷體" w:hint="eastAsia"/>
          <w:noProof w:val="0"/>
          <w:kern w:val="2"/>
          <w:sz w:val="28"/>
          <w:szCs w:val="28"/>
        </w:rPr>
        <w:t>爰</w:t>
      </w:r>
      <w:proofErr w:type="gramEnd"/>
      <w:r w:rsidRPr="005307BC">
        <w:rPr>
          <w:rFonts w:ascii="標楷體" w:hAnsi="標楷體" w:hint="eastAsia"/>
          <w:noProof w:val="0"/>
          <w:kern w:val="2"/>
          <w:sz w:val="28"/>
          <w:szCs w:val="28"/>
        </w:rPr>
        <w:t>修正本規則第二十一條之檢察機關用語。</w:t>
      </w:r>
    </w:p>
    <w:p w:rsidR="00EB62A4" w:rsidRPr="000A1485" w:rsidRDefault="00EB62A4" w:rsidP="00EB62A4">
      <w:pPr>
        <w:adjustRightInd w:val="0"/>
        <w:snapToGrid w:val="0"/>
        <w:spacing w:line="460" w:lineRule="exact"/>
        <w:jc w:val="both"/>
        <w:textAlignment w:val="baseline"/>
        <w:rPr>
          <w:rFonts w:ascii="標楷體" w:hint="eastAsia"/>
          <w:spacing w:val="-4"/>
          <w:sz w:val="28"/>
          <w:szCs w:val="28"/>
        </w:rPr>
      </w:pPr>
    </w:p>
    <w:p w:rsidR="00EB62A4" w:rsidRPr="000A1485" w:rsidRDefault="00EB62A4" w:rsidP="00EB62A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pacing w:afterLines="50" w:line="500" w:lineRule="exact"/>
        <w:jc w:val="both"/>
        <w:rPr>
          <w:rFonts w:ascii="標楷體" w:eastAsia="標楷體" w:hAnsi="標楷體" w:hint="eastAsia"/>
          <w:sz w:val="40"/>
          <w:szCs w:val="40"/>
        </w:rPr>
      </w:pPr>
      <w:r w:rsidRPr="000A1485">
        <w:rPr>
          <w:rFonts w:ascii="標楷體" w:eastAsia="標楷體" w:hAnsi="標楷體"/>
          <w:b/>
          <w:sz w:val="40"/>
          <w:szCs w:val="40"/>
        </w:rPr>
        <w:br w:type="page"/>
      </w:r>
      <w:r w:rsidRPr="008627A6">
        <w:rPr>
          <w:rFonts w:ascii="標楷體" w:eastAsia="標楷體" w:hAnsi="標楷體"/>
          <w:sz w:val="40"/>
          <w:szCs w:val="40"/>
        </w:rPr>
        <w:lastRenderedPageBreak/>
        <w:t>技師懲戒委員會及技師懲戒覆審委員會組織及審議規則</w:t>
      </w:r>
      <w:r w:rsidRPr="008627A6">
        <w:rPr>
          <w:rFonts w:ascii="標楷體" w:eastAsia="標楷體" w:hAnsi="標楷體" w:hint="eastAsia"/>
          <w:sz w:val="40"/>
          <w:szCs w:val="40"/>
        </w:rPr>
        <w:t>第二十一條修正</w:t>
      </w:r>
      <w:r w:rsidRPr="000A1485">
        <w:rPr>
          <w:rFonts w:ascii="標楷體" w:eastAsia="標楷體" w:hAnsi="標楷體" w:hint="eastAsia"/>
          <w:sz w:val="40"/>
          <w:szCs w:val="40"/>
        </w:rPr>
        <w:t>條文對照表</w:t>
      </w:r>
    </w:p>
    <w:tbl>
      <w:tblPr>
        <w:tblW w:w="87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2920"/>
        <w:gridCol w:w="2920"/>
        <w:gridCol w:w="2920"/>
      </w:tblGrid>
      <w:tr w:rsidR="00EB62A4" w:rsidRPr="000A1485" w:rsidTr="002B6717">
        <w:trPr>
          <w:jc w:val="center"/>
        </w:trPr>
        <w:tc>
          <w:tcPr>
            <w:tcW w:w="2920" w:type="dxa"/>
          </w:tcPr>
          <w:p w:rsidR="00EB62A4" w:rsidRPr="000A1485" w:rsidRDefault="00EB62A4" w:rsidP="002B6717">
            <w:pPr>
              <w:spacing w:line="320" w:lineRule="exact"/>
              <w:jc w:val="center"/>
              <w:rPr>
                <w:rFonts w:ascii="標楷體" w:hAnsi="標楷體" w:hint="eastAsia"/>
              </w:rPr>
            </w:pPr>
            <w:r w:rsidRPr="000A1485">
              <w:rPr>
                <w:rFonts w:ascii="標楷體" w:hAnsi="標楷體" w:hint="eastAsia"/>
              </w:rPr>
              <w:t>修正條文</w:t>
            </w:r>
          </w:p>
        </w:tc>
        <w:tc>
          <w:tcPr>
            <w:tcW w:w="2920" w:type="dxa"/>
          </w:tcPr>
          <w:p w:rsidR="00EB62A4" w:rsidRPr="000A1485" w:rsidRDefault="00EB62A4" w:rsidP="002B6717">
            <w:pPr>
              <w:spacing w:line="320" w:lineRule="exact"/>
              <w:jc w:val="center"/>
              <w:rPr>
                <w:rFonts w:ascii="標楷體" w:hAnsi="標楷體" w:hint="eastAsia"/>
              </w:rPr>
            </w:pPr>
            <w:r w:rsidRPr="000A1485">
              <w:rPr>
                <w:rFonts w:ascii="標楷體" w:hAnsi="標楷體" w:hint="eastAsia"/>
              </w:rPr>
              <w:t>現行條文</w:t>
            </w:r>
          </w:p>
        </w:tc>
        <w:tc>
          <w:tcPr>
            <w:tcW w:w="2920" w:type="dxa"/>
          </w:tcPr>
          <w:p w:rsidR="00EB62A4" w:rsidRPr="000A1485" w:rsidRDefault="00EB62A4" w:rsidP="002B6717">
            <w:pPr>
              <w:spacing w:line="320" w:lineRule="exact"/>
              <w:jc w:val="center"/>
              <w:rPr>
                <w:rFonts w:ascii="標楷體" w:hAnsi="標楷體" w:hint="eastAsia"/>
              </w:rPr>
            </w:pPr>
            <w:r w:rsidRPr="000A1485">
              <w:rPr>
                <w:rFonts w:ascii="標楷體" w:hAnsi="標楷體" w:hint="eastAsia"/>
              </w:rPr>
              <w:t>說明</w:t>
            </w:r>
          </w:p>
        </w:tc>
      </w:tr>
      <w:tr w:rsidR="00EB62A4" w:rsidRPr="000A1485" w:rsidTr="002B6717">
        <w:trPr>
          <w:jc w:val="center"/>
        </w:trPr>
        <w:tc>
          <w:tcPr>
            <w:tcW w:w="2920" w:type="dxa"/>
          </w:tcPr>
          <w:p w:rsidR="00EB62A4" w:rsidRPr="000A1485" w:rsidRDefault="00EB62A4" w:rsidP="002B6717">
            <w:pPr>
              <w:pStyle w:val="a8"/>
              <w:spacing w:line="240" w:lineRule="auto"/>
              <w:ind w:left="199" w:firstLineChars="0" w:hanging="180"/>
            </w:pPr>
            <w:r w:rsidRPr="000A1485">
              <w:rPr>
                <w:rFonts w:ascii="標楷體" w:hAnsi="標楷體" w:hint="eastAsia"/>
                <w:sz w:val="24"/>
              </w:rPr>
              <w:t>第</w:t>
            </w:r>
            <w:r>
              <w:rPr>
                <w:rFonts w:ascii="標楷體" w:hAnsi="標楷體" w:hint="eastAsia"/>
                <w:sz w:val="24"/>
              </w:rPr>
              <w:t>二十一</w:t>
            </w:r>
            <w:r w:rsidRPr="000A1485">
              <w:rPr>
                <w:rFonts w:ascii="標楷體" w:hAnsi="標楷體" w:hint="eastAsia"/>
                <w:sz w:val="24"/>
              </w:rPr>
              <w:t xml:space="preserve">條　</w:t>
            </w:r>
            <w:r w:rsidRPr="00D23FE3">
              <w:rPr>
                <w:rFonts w:ascii="標楷體" w:hAnsi="標楷體" w:hint="eastAsia"/>
                <w:sz w:val="24"/>
              </w:rPr>
              <w:t>懲戒委員會或覆審委員會對於懲戒案件認涉有犯罪嫌疑者，應即移請該管檢察署辦理。</w:t>
            </w:r>
          </w:p>
          <w:p w:rsidR="00EB62A4" w:rsidRPr="000A1485" w:rsidRDefault="00EB62A4" w:rsidP="002B6717">
            <w:pPr>
              <w:pStyle w:val="a8"/>
              <w:spacing w:line="240" w:lineRule="auto"/>
              <w:ind w:left="199" w:firstLineChars="0" w:hanging="180"/>
              <w:rPr>
                <w:rFonts w:hint="eastAsia"/>
              </w:rPr>
            </w:pPr>
          </w:p>
        </w:tc>
        <w:tc>
          <w:tcPr>
            <w:tcW w:w="2920" w:type="dxa"/>
          </w:tcPr>
          <w:p w:rsidR="00EB62A4" w:rsidRPr="000A1485" w:rsidRDefault="00EB62A4" w:rsidP="002B6717">
            <w:pPr>
              <w:pStyle w:val="a8"/>
              <w:spacing w:line="240" w:lineRule="auto"/>
              <w:ind w:left="199" w:firstLineChars="0" w:hanging="180"/>
            </w:pPr>
            <w:r w:rsidRPr="000A1485">
              <w:rPr>
                <w:rFonts w:ascii="標楷體" w:hAnsi="標楷體" w:hint="eastAsia"/>
                <w:sz w:val="24"/>
              </w:rPr>
              <w:t>第</w:t>
            </w:r>
            <w:r>
              <w:rPr>
                <w:rFonts w:ascii="標楷體" w:hAnsi="標楷體" w:hint="eastAsia"/>
                <w:sz w:val="24"/>
              </w:rPr>
              <w:t>二十一</w:t>
            </w:r>
            <w:r w:rsidRPr="000A1485">
              <w:rPr>
                <w:rFonts w:ascii="標楷體" w:hAnsi="標楷體" w:hint="eastAsia"/>
                <w:sz w:val="24"/>
              </w:rPr>
              <w:t xml:space="preserve">條　</w:t>
            </w:r>
            <w:r w:rsidRPr="00D23FE3">
              <w:rPr>
                <w:rFonts w:ascii="標楷體" w:hAnsi="標楷體" w:hint="eastAsia"/>
                <w:sz w:val="24"/>
              </w:rPr>
              <w:t>懲戒委員會或覆審委員會對於懲戒案件認涉有犯罪嫌疑者，應即移請該管</w:t>
            </w:r>
            <w:r w:rsidRPr="0088695F">
              <w:rPr>
                <w:rFonts w:ascii="標楷體" w:hAnsi="標楷體" w:hint="eastAsia"/>
                <w:sz w:val="24"/>
                <w:u w:val="single"/>
              </w:rPr>
              <w:t>法院</w:t>
            </w:r>
            <w:r w:rsidRPr="00D23FE3">
              <w:rPr>
                <w:rFonts w:ascii="標楷體" w:hAnsi="標楷體" w:hint="eastAsia"/>
                <w:sz w:val="24"/>
              </w:rPr>
              <w:t>檢察署辦理。</w:t>
            </w:r>
          </w:p>
          <w:p w:rsidR="00EB62A4" w:rsidRPr="00D23FE3" w:rsidRDefault="00EB62A4" w:rsidP="002B6717">
            <w:pPr>
              <w:pStyle w:val="a8"/>
              <w:spacing w:line="240" w:lineRule="auto"/>
              <w:ind w:left="199" w:firstLineChars="0" w:hanging="180"/>
              <w:rPr>
                <w:rFonts w:hint="eastAsia"/>
                <w:sz w:val="24"/>
              </w:rPr>
            </w:pPr>
          </w:p>
        </w:tc>
        <w:tc>
          <w:tcPr>
            <w:tcW w:w="2920" w:type="dxa"/>
          </w:tcPr>
          <w:p w:rsidR="00EB62A4" w:rsidRPr="000A1485" w:rsidRDefault="00EB62A4" w:rsidP="002B6717">
            <w:pPr>
              <w:pStyle w:val="20"/>
              <w:spacing w:line="240" w:lineRule="auto"/>
              <w:ind w:leftChars="0" w:left="0" w:firstLineChars="0" w:firstLine="0"/>
              <w:rPr>
                <w:rFonts w:hAnsi="標楷體" w:hint="eastAsia"/>
                <w:sz w:val="24"/>
              </w:rPr>
            </w:pPr>
            <w:r>
              <w:rPr>
                <w:rFonts w:hAnsi="標楷體" w:hint="eastAsia"/>
                <w:sz w:val="24"/>
              </w:rPr>
              <w:t>配合法務部組織法修正第五條、法院組織法增訂第一百十四條之二，有關</w:t>
            </w:r>
            <w:r w:rsidRPr="00D23FE3">
              <w:rPr>
                <w:rFonts w:hAnsi="標楷體" w:hint="eastAsia"/>
                <w:sz w:val="24"/>
              </w:rPr>
              <w:t>各級檢察機關名銜「去法院化」</w:t>
            </w:r>
            <w:r>
              <w:rPr>
                <w:rFonts w:hAnsi="標楷體" w:hint="eastAsia"/>
                <w:sz w:val="24"/>
              </w:rPr>
              <w:t>之規定，</w:t>
            </w:r>
            <w:proofErr w:type="gramStart"/>
            <w:r>
              <w:rPr>
                <w:rFonts w:hAnsi="標楷體" w:hint="eastAsia"/>
                <w:sz w:val="24"/>
              </w:rPr>
              <w:t>爰</w:t>
            </w:r>
            <w:proofErr w:type="gramEnd"/>
            <w:r>
              <w:rPr>
                <w:rFonts w:hAnsi="標楷體" w:hint="eastAsia"/>
                <w:sz w:val="24"/>
              </w:rPr>
              <w:t>刪除「法院」文字。</w:t>
            </w:r>
          </w:p>
        </w:tc>
      </w:tr>
    </w:tbl>
    <w:p w:rsidR="00EB62A4" w:rsidRPr="000A1485" w:rsidRDefault="00EB62A4" w:rsidP="00EB62A4">
      <w:pPr>
        <w:snapToGrid w:val="0"/>
        <w:spacing w:line="460" w:lineRule="exact"/>
        <w:ind w:left="1261" w:hanging="1261"/>
        <w:jc w:val="both"/>
        <w:rPr>
          <w:rFonts w:hint="eastAsia"/>
        </w:rPr>
      </w:pPr>
    </w:p>
    <w:p w:rsidR="006254B6" w:rsidRPr="00EB62A4" w:rsidRDefault="00EB62A4"/>
    <w:sectPr w:rsidR="006254B6" w:rsidRPr="00EB62A4" w:rsidSect="00A65A9A">
      <w:footerReference w:type="even" r:id="rId4"/>
      <w:footerReference w:type="default" r:id="rId5"/>
      <w:pgSz w:w="11906" w:h="16838" w:code="9"/>
      <w:pgMar w:top="1418" w:right="1418" w:bottom="1418" w:left="1701"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2B" w:rsidRDefault="00EB62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D3B2B" w:rsidRDefault="00EB62A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B2B" w:rsidRDefault="00EB62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5D3B2B" w:rsidRDefault="00EB62A4">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62A4"/>
    <w:rsid w:val="008F4AA4"/>
    <w:rsid w:val="00C93BC5"/>
    <w:rsid w:val="00E16FB5"/>
    <w:rsid w:val="00EB62A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A4"/>
    <w:pPr>
      <w:widowControl w:val="0"/>
    </w:pPr>
    <w:rPr>
      <w:rFonts w:ascii="Times New Roman" w:eastAsia="標楷體" w:hAnsi="Times New Roman" w:cs="Times New Roman"/>
      <w:snapToGrid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B62A4"/>
    <w:pPr>
      <w:tabs>
        <w:tab w:val="center" w:pos="4153"/>
        <w:tab w:val="right" w:pos="8306"/>
      </w:tabs>
      <w:snapToGrid w:val="0"/>
    </w:pPr>
    <w:rPr>
      <w:sz w:val="20"/>
      <w:szCs w:val="20"/>
    </w:rPr>
  </w:style>
  <w:style w:type="character" w:customStyle="1" w:styleId="a4">
    <w:name w:val="頁尾 字元"/>
    <w:basedOn w:val="a0"/>
    <w:link w:val="a3"/>
    <w:rsid w:val="00EB62A4"/>
    <w:rPr>
      <w:rFonts w:ascii="Times New Roman" w:eastAsia="標楷體" w:hAnsi="Times New Roman" w:cs="Times New Roman"/>
      <w:snapToGrid w:val="0"/>
      <w:sz w:val="20"/>
      <w:szCs w:val="20"/>
    </w:rPr>
  </w:style>
  <w:style w:type="character" w:styleId="a5">
    <w:name w:val="page number"/>
    <w:basedOn w:val="a0"/>
    <w:rsid w:val="00EB62A4"/>
  </w:style>
  <w:style w:type="paragraph" w:customStyle="1" w:styleId="a6">
    <w:name w:val="公文(主旨)"/>
    <w:next w:val="a"/>
    <w:rsid w:val="00EB62A4"/>
    <w:pPr>
      <w:adjustRightInd w:val="0"/>
      <w:snapToGrid w:val="0"/>
      <w:spacing w:before="120" w:line="578" w:lineRule="exact"/>
      <w:ind w:left="964" w:hanging="964"/>
      <w:textAlignment w:val="center"/>
    </w:pPr>
    <w:rPr>
      <w:rFonts w:ascii="Times New Roman" w:eastAsia="標楷體" w:hAnsi="Times New Roman" w:cs="Times New Roman"/>
      <w:noProof/>
      <w:kern w:val="0"/>
      <w:sz w:val="32"/>
      <w:szCs w:val="20"/>
    </w:rPr>
  </w:style>
  <w:style w:type="paragraph" w:styleId="HTML">
    <w:name w:val="HTML Preformatted"/>
    <w:basedOn w:val="a"/>
    <w:link w:val="HTML0"/>
    <w:rsid w:val="00EB62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napToGrid/>
      <w:kern w:val="0"/>
    </w:rPr>
  </w:style>
  <w:style w:type="character" w:customStyle="1" w:styleId="HTML0">
    <w:name w:val="HTML 預設格式 字元"/>
    <w:basedOn w:val="a0"/>
    <w:link w:val="HTML"/>
    <w:rsid w:val="00EB62A4"/>
    <w:rPr>
      <w:rFonts w:ascii="細明體" w:eastAsia="細明體" w:hAnsi="細明體" w:cs="細明體"/>
      <w:kern w:val="0"/>
      <w:szCs w:val="24"/>
    </w:rPr>
  </w:style>
  <w:style w:type="paragraph" w:customStyle="1" w:styleId="a7">
    <w:name w:val="公文(後續段落)"/>
    <w:rsid w:val="00EB62A4"/>
    <w:pPr>
      <w:adjustRightInd w:val="0"/>
      <w:snapToGrid w:val="0"/>
      <w:spacing w:line="578" w:lineRule="exact"/>
      <w:ind w:left="340"/>
      <w:textAlignment w:val="center"/>
    </w:pPr>
    <w:rPr>
      <w:rFonts w:ascii="Times New Roman" w:eastAsia="標楷體" w:hAnsi="Times New Roman" w:cs="Times New Roman"/>
      <w:noProof/>
      <w:kern w:val="0"/>
      <w:sz w:val="32"/>
      <w:szCs w:val="20"/>
    </w:rPr>
  </w:style>
  <w:style w:type="paragraph" w:customStyle="1" w:styleId="20">
    <w:name w:val="20"/>
    <w:basedOn w:val="a"/>
    <w:rsid w:val="00EB62A4"/>
    <w:pPr>
      <w:spacing w:line="400" w:lineRule="exact"/>
      <w:ind w:leftChars="350" w:left="840" w:firstLineChars="200" w:firstLine="560"/>
      <w:jc w:val="both"/>
    </w:pPr>
    <w:rPr>
      <w:snapToGrid/>
      <w:sz w:val="28"/>
    </w:rPr>
  </w:style>
  <w:style w:type="paragraph" w:customStyle="1" w:styleId="a8">
    <w:name w:val="a"/>
    <w:basedOn w:val="a"/>
    <w:rsid w:val="00EB62A4"/>
    <w:pPr>
      <w:spacing w:line="400" w:lineRule="exact"/>
      <w:ind w:left="840" w:hangingChars="300" w:hanging="840"/>
      <w:jc w:val="both"/>
    </w:pPr>
    <w:rPr>
      <w:snapToGrid/>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Words>
  <Characters>346</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1524</dc:creator>
  <cp:lastModifiedBy>1524</cp:lastModifiedBy>
  <cp:revision>1</cp:revision>
  <dcterms:created xsi:type="dcterms:W3CDTF">2021-04-15T11:54:00Z</dcterms:created>
  <dcterms:modified xsi:type="dcterms:W3CDTF">2021-04-15T11:54:00Z</dcterms:modified>
</cp:coreProperties>
</file>