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F2EA2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強化公共工程技術資料庫內容</w:t>
      </w:r>
    </w:p>
    <w:p w:rsidR="00A77B3E" w:rsidRDefault="002F2EA2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112</w:t>
      </w:r>
      <w:r>
        <w:rPr>
          <w:rFonts w:ascii="Calibri" w:eastAsia="微軟正黑體" w:hAnsi="微軟正黑體" w:cs="Calibri"/>
          <w:b/>
          <w:sz w:val="28"/>
          <w:lang w:eastAsia="zh-TW"/>
        </w:rPr>
        <w:t>年</w:t>
      </w:r>
      <w:r>
        <w:rPr>
          <w:rFonts w:ascii="Calibri" w:eastAsia="微軟正黑體" w:hAnsi="微軟正黑體" w:cs="Calibri"/>
          <w:b/>
          <w:sz w:val="28"/>
          <w:lang w:eastAsia="zh-TW"/>
        </w:rPr>
        <w:t>3</w:t>
      </w:r>
      <w:r>
        <w:rPr>
          <w:rFonts w:ascii="Calibri" w:eastAsia="微軟正黑體" w:hAnsi="微軟正黑體" w:cs="Calibri"/>
          <w:b/>
          <w:sz w:val="28"/>
          <w:lang w:eastAsia="zh-TW"/>
        </w:rPr>
        <w:t>月執行進度</w:t>
      </w:r>
    </w:p>
    <w:p w:rsidR="00A77B3E" w:rsidRDefault="00A77B3E">
      <w:pPr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</w:p>
    <w:p w:rsidR="00A77B3E" w:rsidRDefault="002F2EA2">
      <w:pPr>
        <w:jc w:val="right"/>
        <w:rPr>
          <w:rFonts w:ascii="Calibri" w:eastAsia="微軟正黑體" w:hAnsi="微軟正黑體" w:cs="Calibri"/>
          <w:b/>
          <w:color w:val="000000"/>
          <w:sz w:val="1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主辦機關：行政院公共工程委員會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(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技術處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)</w:t>
      </w:r>
    </w:p>
    <w:p w:rsidR="00A77B3E" w:rsidRDefault="002F2EA2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1.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計畫資訊</w:t>
      </w:r>
      <w:proofErr w:type="spellEnd"/>
    </w:p>
    <w:p w:rsidR="00A77B3E" w:rsidRDefault="002F2EA2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1.1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基本資料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3523"/>
        <w:gridCol w:w="1510"/>
        <w:gridCol w:w="3523"/>
      </w:tblGrid>
      <w:tr w:rsidR="00291B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計畫名稱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強化公共工程技術資料庫內容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個案計畫統一編號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36-5230-1378</w:t>
            </w:r>
          </w:p>
        </w:tc>
      </w:tr>
      <w:tr w:rsidR="00291B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計畫期程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112/01/01~112/12/31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)(I)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291B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先期類別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社會發展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其他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)(J)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291B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主管機關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)(K)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291B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院核管制編號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1120175</w:t>
            </w:r>
          </w:p>
        </w:tc>
      </w:tr>
      <w:tr w:rsidR="00291B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中央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管制級別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部會管制</w:t>
            </w:r>
            <w:proofErr w:type="spellEnd"/>
          </w:p>
        </w:tc>
      </w:tr>
      <w:tr w:rsidR="00291B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地方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管考週期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季報</w:t>
            </w:r>
            <w:proofErr w:type="spellEnd"/>
          </w:p>
        </w:tc>
      </w:tr>
      <w:tr w:rsidR="00291B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執行地點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台北市</w:t>
            </w:r>
            <w:proofErr w:type="spellEnd"/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空間資料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請查詢個案計畫空間管理資訊系統</w:t>
            </w:r>
          </w:p>
        </w:tc>
      </w:tr>
      <w:tr w:rsidR="00291B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計畫核定情形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年度施政計畫：行政院　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院授發綜字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第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1110801441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號函</w:t>
            </w:r>
          </w:p>
        </w:tc>
      </w:tr>
      <w:tr w:rsidR="00291B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隸屬專案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子專案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291B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計畫年度目標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更新公共工程技術資料庫內容，全年提供服務。</w:t>
            </w:r>
          </w:p>
        </w:tc>
      </w:tr>
      <w:tr w:rsidR="00291B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計畫年度摘要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共通性工項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施工綱要規範，蒐集工項及大宗資材價格資料。</w:t>
            </w:r>
          </w:p>
        </w:tc>
      </w:tr>
    </w:tbl>
    <w:p w:rsidR="00A77B3E" w:rsidRDefault="002F2EA2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聯絡人員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1196"/>
        <w:gridCol w:w="1545"/>
        <w:gridCol w:w="1545"/>
        <w:gridCol w:w="1994"/>
        <w:gridCol w:w="2493"/>
      </w:tblGrid>
      <w:tr w:rsidR="00291B1D"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職稱</w:t>
            </w:r>
            <w:proofErr w:type="spellEnd"/>
          </w:p>
        </w:tc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姓名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聯絡電話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傳真</w:t>
            </w:r>
            <w:proofErr w:type="spellEnd"/>
          </w:p>
        </w:tc>
        <w:tc>
          <w:tcPr>
            <w:tcW w:w="10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電子信箱</w:t>
            </w:r>
            <w:proofErr w:type="spellEnd"/>
          </w:p>
        </w:tc>
        <w:tc>
          <w:tcPr>
            <w:tcW w:w="1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負責工作項目</w:t>
            </w:r>
            <w:proofErr w:type="spellEnd"/>
          </w:p>
        </w:tc>
      </w:tr>
      <w:tr w:rsidR="00291B1D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計畫主辦人員</w:t>
            </w:r>
            <w:proofErr w:type="spellEnd"/>
          </w:p>
        </w:tc>
      </w:tr>
      <w:tr w:rsidR="00291B1D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年公共工程技術資料庫更新及維護</w:t>
            </w:r>
          </w:p>
        </w:tc>
      </w:tr>
    </w:tbl>
    <w:p w:rsidR="00A77B3E" w:rsidRDefault="002F2EA2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整體計畫執行情形</w:t>
      </w:r>
    </w:p>
    <w:p w:rsidR="00A77B3E" w:rsidRDefault="002F2EA2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計畫進度與經費達成率</w:t>
      </w:r>
    </w:p>
    <w:p w:rsidR="00A77B3E" w:rsidRDefault="002F2EA2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年累計執行進度符合，年累計支用比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符合，年分配經費執行率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2F2EA2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2.1.2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總累計執行進度符合，總累計支用比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符合，總分配經費執行率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2F2EA2">
      <w:pPr>
        <w:jc w:val="right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>年度：</w:t>
      </w:r>
      <w:r>
        <w:rPr>
          <w:rFonts w:ascii="Calibri" w:eastAsia="微軟正黑體" w:hAnsi="微軟正黑體" w:cs="Calibri"/>
          <w:b/>
          <w:color w:val="000000"/>
          <w:sz w:val="28"/>
        </w:rPr>
        <w:t>112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　月份：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1018"/>
        <w:gridCol w:w="1018"/>
        <w:gridCol w:w="1018"/>
        <w:gridCol w:w="1018"/>
        <w:gridCol w:w="1220"/>
        <w:gridCol w:w="1220"/>
        <w:gridCol w:w="1220"/>
        <w:gridCol w:w="1220"/>
      </w:tblGrid>
      <w:tr w:rsidR="00291B1D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(A)(%)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(B)(%)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291B1D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24.66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24.66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291B1D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24.66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24.66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291B1D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 (H/C)</w:t>
            </w:r>
          </w:p>
        </w:tc>
      </w:tr>
      <w:tr w:rsidR="00291B1D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291B1D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291B1D"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經費達成率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</w:t>
            </w: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(H)/(K)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291B1D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總計畫經費達成率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(H)/(J)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291B1D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計畫核定經費達成率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(H)/(I)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291B1D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  <w:proofErr w:type="spellEnd"/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整體執行情形說明</w:t>
            </w:r>
            <w:proofErr w:type="spellEnd"/>
          </w:p>
        </w:tc>
      </w:tr>
      <w:tr w:rsidR="00291B1D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1120175-001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年公共工程技術資料庫更新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及維護</w:t>
            </w:r>
          </w:p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2F2EA2" w:rsidRDefault="002F2EA2" w:rsidP="002F2EA2">
            <w:pPr>
              <w:numPr>
                <w:ilvl w:val="0"/>
                <w:numId w:val="1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112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瀏覽人次達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185,685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2F2EA2" w:rsidRDefault="002F2EA2" w:rsidP="002F2EA2">
            <w:pPr>
              <w:numPr>
                <w:ilvl w:val="0"/>
                <w:numId w:val="1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年營建大宗資材價格依預訂目標計公布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1~2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月份）。</w:t>
            </w:r>
          </w:p>
          <w:p w:rsidR="00A77B3E" w:rsidRDefault="002F2EA2" w:rsidP="002F2EA2">
            <w:pPr>
              <w:numPr>
                <w:ilvl w:val="0"/>
                <w:numId w:val="1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96.82%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2F2EA2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lastRenderedPageBreak/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目標達成分析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13"/>
        <w:gridCol w:w="3524"/>
        <w:gridCol w:w="1310"/>
        <w:gridCol w:w="1310"/>
        <w:gridCol w:w="1310"/>
      </w:tblGrid>
      <w:tr w:rsidR="00291B1D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291B1D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技術資料庫瀏覽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含價格資料庫查詢次數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人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700,000.00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185,685.00</w:t>
            </w:r>
          </w:p>
        </w:tc>
      </w:tr>
      <w:tr w:rsidR="00291B1D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公布營建大宗資材價格次數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次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3.00</w:t>
            </w:r>
          </w:p>
        </w:tc>
      </w:tr>
      <w:tr w:rsidR="00291B1D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標案預算及契約資料回收率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95.00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96.82</w:t>
            </w:r>
          </w:p>
        </w:tc>
      </w:tr>
      <w:tr w:rsidR="00291B1D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重要執行成果</w:t>
            </w:r>
            <w:proofErr w:type="spellEnd"/>
          </w:p>
        </w:tc>
      </w:tr>
      <w:tr w:rsidR="00291B1D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185,685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年營建大宗資材價格依預訂目標計公布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1~2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月份）。</w:t>
            </w:r>
          </w:p>
          <w:p w:rsidR="00A77B3E" w:rsidRDefault="002F2EA2" w:rsidP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3.11</w:t>
            </w:r>
            <w:r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96.82%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2F2EA2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落後原因分析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8551"/>
      </w:tblGrid>
      <w:tr w:rsidR="00291B1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總累計進度落後幅度大於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1 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百分點，年累計進度落後幅度大於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5 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百分點，總累計支用比未達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，年分配經費執行率未達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者必填</w:t>
            </w:r>
            <w:proofErr w:type="gramEnd"/>
          </w:p>
        </w:tc>
      </w:tr>
      <w:tr w:rsidR="00291B1D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8358E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88358E" w:rsidTr="00043A00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8358E" w:rsidRDefault="0088358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次要落後原因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88358E" w:rsidRDefault="0088358E">
            <w:r w:rsidRPr="00B9796B"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88358E" w:rsidTr="00043A00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8358E" w:rsidRDefault="0088358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落後原因分析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88358E" w:rsidRDefault="0088358E">
            <w:r w:rsidRPr="00B9796B"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88358E" w:rsidTr="00043A00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8358E" w:rsidRDefault="0088358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因應對策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88358E" w:rsidRDefault="0088358E">
            <w:r w:rsidRPr="00B9796B"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88358E" w:rsidTr="00043A00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8358E" w:rsidRDefault="0088358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檢討與建議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88358E" w:rsidRDefault="0088358E">
            <w:r w:rsidRPr="00B9796B"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2F2EA2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lastRenderedPageBreak/>
        <w:t xml:space="preserve">3.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年度工作執行情形</w:t>
      </w:r>
      <w:proofErr w:type="spellEnd"/>
    </w:p>
    <w:p w:rsidR="00A77B3E" w:rsidRDefault="002F2EA2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3.1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工作項目</w:t>
      </w:r>
      <w:proofErr w:type="gramStart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一</w:t>
      </w:r>
      <w:proofErr w:type="gramEnd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「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112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年公共工程技術資料庫更新及維護」</w:t>
      </w:r>
    </w:p>
    <w:p w:rsidR="00A77B3E" w:rsidRDefault="002F2EA2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 3.1.1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工作進度與計畫經費</w:t>
      </w:r>
    </w:p>
    <w:p w:rsidR="00A77B3E" w:rsidRDefault="002F2EA2">
      <w:pPr>
        <w:jc w:val="right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進度計算基準：工作天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權重：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100.00%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291B1D" w:rsidTr="00F96704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(A)(%)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(B)(%)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291B1D" w:rsidTr="00F96704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24.66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24.66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291B1D" w:rsidTr="00F96704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(%)(H/C)</w:t>
            </w:r>
          </w:p>
        </w:tc>
      </w:tr>
      <w:tr w:rsidR="00291B1D" w:rsidTr="00F96704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291B1D" w:rsidTr="00F96704">
        <w:tc>
          <w:tcPr>
            <w:tcW w:w="5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  <w:proofErr w:type="spellEnd"/>
          </w:p>
        </w:tc>
        <w:tc>
          <w:tcPr>
            <w:tcW w:w="4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執行說明</w:t>
            </w:r>
            <w:proofErr w:type="spellEnd"/>
          </w:p>
        </w:tc>
      </w:tr>
      <w:tr w:rsidR="00291B1D" w:rsidTr="00F96704">
        <w:tc>
          <w:tcPr>
            <w:tcW w:w="5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</w:tc>
        <w:tc>
          <w:tcPr>
            <w:tcW w:w="4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2F2EA2" w:rsidRDefault="002F2EA2" w:rsidP="002F2EA2">
            <w:pPr>
              <w:numPr>
                <w:ilvl w:val="0"/>
                <w:numId w:val="2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185,685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2F2EA2" w:rsidRDefault="002F2EA2" w:rsidP="002F2EA2">
            <w:pPr>
              <w:numPr>
                <w:ilvl w:val="0"/>
                <w:numId w:val="2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年營建大宗資材價格依預訂目標計公布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1~2</w:t>
            </w:r>
            <w:r w:rsidRPr="002F2EA2">
              <w:rPr>
                <w:rFonts w:ascii="Calibri" w:eastAsia="微軟正黑體" w:hAnsi="微軟正黑體" w:cs="Calibri"/>
                <w:color w:val="000000"/>
                <w:lang w:eastAsia="zh-TW"/>
              </w:rPr>
              <w:t>月份）。</w:t>
            </w:r>
          </w:p>
          <w:p w:rsidR="00A77B3E" w:rsidRDefault="002F2EA2" w:rsidP="002F2EA2">
            <w:pPr>
              <w:numPr>
                <w:ilvl w:val="0"/>
                <w:numId w:val="2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96.82%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2F2EA2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工作項目目標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1664"/>
        <w:gridCol w:w="1663"/>
        <w:gridCol w:w="1663"/>
        <w:gridCol w:w="1663"/>
        <w:gridCol w:w="1663"/>
      </w:tblGrid>
      <w:tr w:rsidR="00291B1D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291B1D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技術資料庫瀏覽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含價格資料庫查詢次數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人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700,000.00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185,685.00</w:t>
            </w:r>
          </w:p>
        </w:tc>
      </w:tr>
      <w:tr w:rsidR="00291B1D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公布營建大宗資材價格次數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3.00</w:t>
            </w:r>
          </w:p>
        </w:tc>
      </w:tr>
      <w:tr w:rsidR="00291B1D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標案預算及契約資料回收率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95.00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2F2EA2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96.82</w:t>
            </w:r>
          </w:p>
        </w:tc>
      </w:tr>
      <w:tr w:rsidR="00291B1D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291B1D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解決對策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2F2EA2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查核點達成情形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994"/>
        <w:gridCol w:w="1497"/>
        <w:gridCol w:w="1497"/>
        <w:gridCol w:w="3493"/>
      </w:tblGrid>
      <w:tr w:rsidR="00291B1D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月份</w:t>
            </w:r>
            <w:proofErr w:type="spellEnd"/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查核點名稱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預定完成日期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實際完成日期</w:t>
            </w:r>
            <w:proofErr w:type="spellEnd"/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辦理情形</w:t>
            </w:r>
            <w:proofErr w:type="spellEnd"/>
          </w:p>
        </w:tc>
      </w:tr>
      <w:tr w:rsidR="00291B1D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1~2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112/1/20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前均如期公布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112/03/20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112/03/20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 w:rsidP="0088358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1~2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 w:rsidR="0088358E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 w:rsidR="0088358E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18</w:t>
            </w:r>
            <w:r w:rsidR="0088358E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日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</w:t>
            </w:r>
            <w:r w:rsidR="0088358E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18</w:t>
            </w:r>
            <w:r w:rsidR="0088358E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日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 w:rsidR="0088358E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 w:rsidR="0088358E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日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公布。</w:t>
            </w:r>
          </w:p>
        </w:tc>
      </w:tr>
      <w:tr w:rsidR="00291B1D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3~5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112/4/20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前均如期公布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112/06/20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291B1D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6~8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112/7/20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8/20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前均如期公布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112/09/20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291B1D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9~11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112/10/20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前均如期公布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2F2EA2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112/12/20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</w:rPr>
      </w:pPr>
    </w:p>
    <w:sectPr w:rsidR="00A77B3E" w:rsidSect="00291B1D">
      <w:footerReference w:type="default" r:id="rId7"/>
      <w:pgSz w:w="12240" w:h="15840"/>
      <w:pgMar w:top="1140" w:right="1140" w:bottom="1140" w:left="11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1D" w:rsidRDefault="00291B1D" w:rsidP="00291B1D">
      <w:r>
        <w:separator/>
      </w:r>
    </w:p>
  </w:endnote>
  <w:endnote w:type="continuationSeparator" w:id="0">
    <w:p w:rsidR="00291B1D" w:rsidRDefault="00291B1D" w:rsidP="0029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1D" w:rsidRDefault="002F2EA2">
    <w:pPr>
      <w:jc w:val="center"/>
      <w:rPr>
        <w:rFonts w:ascii="Calibri" w:eastAsia="微軟正黑體" w:hAnsi="Calibri" w:cs="Calibri"/>
      </w:rPr>
    </w:pPr>
    <w:r>
      <w:rPr>
        <w:rFonts w:ascii="Calibri" w:eastAsia="微軟正黑體" w:hAnsi="Calibri" w:cs="Calibri"/>
        <w:sz w:val="20"/>
      </w:rPr>
      <w:t>第</w:t>
    </w:r>
    <w:r>
      <w:rPr>
        <w:rFonts w:ascii="Calibri" w:eastAsia="微軟正黑體" w:hAnsi="Calibri" w:cs="Calibri"/>
        <w:sz w:val="20"/>
      </w:rPr>
      <w:t xml:space="preserve"> </w:t>
    </w:r>
    <w:r w:rsidR="00252EC9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PAGE</w:instrText>
    </w:r>
    <w:r w:rsidR="00252EC9">
      <w:rPr>
        <w:rFonts w:ascii="Calibri" w:eastAsia="微軟正黑體" w:hAnsi="Calibri" w:cs="Calibri"/>
        <w:sz w:val="20"/>
      </w:rPr>
      <w:fldChar w:fldCharType="separate"/>
    </w:r>
    <w:r w:rsidR="0088358E">
      <w:rPr>
        <w:rFonts w:ascii="Calibri" w:eastAsia="微軟正黑體" w:hAnsi="Calibri" w:cs="Calibri"/>
        <w:noProof/>
        <w:sz w:val="20"/>
      </w:rPr>
      <w:t>5</w:t>
    </w:r>
    <w:r w:rsidR="00252EC9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proofErr w:type="spellStart"/>
    <w:r>
      <w:rPr>
        <w:rFonts w:ascii="Calibri" w:eastAsia="微軟正黑體" w:hAnsi="Calibri" w:cs="Calibri"/>
        <w:sz w:val="20"/>
      </w:rPr>
      <w:t>頁，共</w:t>
    </w:r>
    <w:proofErr w:type="spellEnd"/>
    <w:r>
      <w:rPr>
        <w:rFonts w:ascii="Calibri" w:eastAsia="微軟正黑體" w:hAnsi="Calibri" w:cs="Calibri"/>
        <w:sz w:val="20"/>
      </w:rPr>
      <w:t xml:space="preserve"> </w:t>
    </w:r>
    <w:r w:rsidR="00252EC9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NUMPAGES</w:instrText>
    </w:r>
    <w:r w:rsidR="00252EC9">
      <w:rPr>
        <w:rFonts w:ascii="Calibri" w:eastAsia="微軟正黑體" w:hAnsi="Calibri" w:cs="Calibri"/>
        <w:sz w:val="20"/>
      </w:rPr>
      <w:fldChar w:fldCharType="separate"/>
    </w:r>
    <w:r w:rsidR="0088358E">
      <w:rPr>
        <w:rFonts w:ascii="Calibri" w:eastAsia="微軟正黑體" w:hAnsi="Calibri" w:cs="Calibri"/>
        <w:noProof/>
        <w:sz w:val="20"/>
      </w:rPr>
      <w:t>5</w:t>
    </w:r>
    <w:r w:rsidR="00252EC9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1D" w:rsidRDefault="00291B1D" w:rsidP="00291B1D">
      <w:r>
        <w:separator/>
      </w:r>
    </w:p>
  </w:footnote>
  <w:footnote w:type="continuationSeparator" w:id="0">
    <w:p w:rsidR="00291B1D" w:rsidRDefault="00291B1D" w:rsidP="00291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1889"/>
    <w:multiLevelType w:val="hybridMultilevel"/>
    <w:tmpl w:val="D3587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EC45EA"/>
    <w:multiLevelType w:val="hybridMultilevel"/>
    <w:tmpl w:val="C0E8F4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20ED7"/>
    <w:rsid w:val="00252EC9"/>
    <w:rsid w:val="00291B1D"/>
    <w:rsid w:val="002F2EA2"/>
    <w:rsid w:val="0088358E"/>
    <w:rsid w:val="00A77B3E"/>
    <w:rsid w:val="00AE55D5"/>
    <w:rsid w:val="00CA2A55"/>
    <w:rsid w:val="00F60975"/>
    <w:rsid w:val="00F9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F2EA2"/>
  </w:style>
  <w:style w:type="paragraph" w:styleId="a5">
    <w:name w:val="footer"/>
    <w:basedOn w:val="a"/>
    <w:link w:val="a6"/>
    <w:rsid w:val="002F2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F2EA2"/>
  </w:style>
  <w:style w:type="paragraph" w:styleId="a7">
    <w:name w:val="Balloon Text"/>
    <w:basedOn w:val="a"/>
    <w:link w:val="a8"/>
    <w:rsid w:val="002F2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F2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1752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巫德政</dc:creator>
  <cp:lastModifiedBy>巫德政</cp:lastModifiedBy>
  <cp:revision>5</cp:revision>
  <cp:lastPrinted>2023-04-18T00:36:00Z</cp:lastPrinted>
  <dcterms:created xsi:type="dcterms:W3CDTF">2023-04-12T09:36:00Z</dcterms:created>
  <dcterms:modified xsi:type="dcterms:W3CDTF">2023-04-18T00:38:00Z</dcterms:modified>
</cp:coreProperties>
</file>