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40" w:lineRule="auto"/>
        <w:ind w:right="-510"/>
        <w:jc w:val="both"/>
        <w:rPr>
          <w:b w:val="1"/>
          <w:color w:val="000000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附件一</w:t>
          </w:r>
        </w:sdtContent>
      </w:sdt>
    </w:p>
    <w:p w:rsidR="00000000" w:rsidDel="00000000" w:rsidP="00000000" w:rsidRDefault="00000000" w:rsidRPr="00000000" w14:paraId="00000002">
      <w:pPr>
        <w:spacing w:after="120" w:line="480" w:lineRule="auto"/>
        <w:jc w:val="center"/>
        <w:rPr>
          <w:b w:val="1"/>
          <w:color w:val="000000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表一：「公共工程金質獎」公共工程品質優良獎推薦表</w:t>
          </w:r>
        </w:sdtContent>
      </w:sdt>
    </w:p>
    <w:tbl>
      <w:tblPr>
        <w:tblStyle w:val="Table1"/>
        <w:tblW w:w="95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8"/>
        <w:gridCol w:w="2326"/>
        <w:gridCol w:w="74"/>
        <w:gridCol w:w="2303"/>
        <w:gridCol w:w="217"/>
        <w:gridCol w:w="2160"/>
        <w:tblGridChange w:id="0">
          <w:tblGrid>
            <w:gridCol w:w="2428"/>
            <w:gridCol w:w="2326"/>
            <w:gridCol w:w="74"/>
            <w:gridCol w:w="2303"/>
            <w:gridCol w:w="217"/>
            <w:gridCol w:w="2160"/>
          </w:tblGrid>
        </w:tblGridChange>
      </w:tblGrid>
      <w:tr>
        <w:trPr>
          <w:cantSplit w:val="1"/>
          <w:trHeight w:val="1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推薦工程</w:t>
                </w:r>
              </w:sdtContent>
            </w:sdt>
          </w:p>
          <w:p w:rsidR="00000000" w:rsidDel="00000000" w:rsidP="00000000" w:rsidRDefault="00000000" w:rsidRPr="00000000" w14:paraId="00000004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主管機關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5">
            <w:pPr>
              <w:spacing w:after="20" w:before="20" w:lineRule="auto"/>
              <w:jc w:val="both"/>
              <w:rPr>
                <w:b w:val="1"/>
                <w:color w:val="ff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rtl w:val="0"/>
                  </w:rPr>
                  <w:t xml:space="preserve">機關名稱：新北市政府</w:t>
                </w:r>
              </w:sdtContent>
            </w:sdt>
          </w:p>
          <w:p w:rsidR="00000000" w:rsidDel="00000000" w:rsidP="00000000" w:rsidRDefault="00000000" w:rsidRPr="00000000" w14:paraId="00000006">
            <w:pPr>
              <w:spacing w:after="20" w:before="20" w:lineRule="auto"/>
              <w:jc w:val="both"/>
              <w:rPr>
                <w:b w:val="1"/>
                <w:color w:val="ff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rtl w:val="0"/>
                  </w:rPr>
                  <w:t xml:space="preserve">連絡人姓名及職稱：徐育芬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after="20" w:before="20" w:lineRule="auto"/>
              <w:jc w:val="both"/>
              <w:rPr>
                <w:b w:val="1"/>
                <w:color w:val="ff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rtl w:val="0"/>
                  </w:rPr>
                  <w:t xml:space="preserve">連絡電話：（02）29603456分機7628  傳真電話：（02）29530960</w:t>
                </w:r>
              </w:sdtContent>
            </w:sdt>
          </w:p>
          <w:p w:rsidR="00000000" w:rsidDel="00000000" w:rsidP="00000000" w:rsidRDefault="00000000" w:rsidRPr="00000000" w14:paraId="00000008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rtl w:val="0"/>
                  </w:rPr>
                  <w:t xml:space="preserve">E-mail：AH4251@ntpc.gov.tw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工程主辦機關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機關名稱：新北市政府養護工程處</w:t>
                </w:r>
              </w:sdtContent>
            </w:sdt>
          </w:p>
          <w:p w:rsidR="00000000" w:rsidDel="00000000" w:rsidP="00000000" w:rsidRDefault="00000000" w:rsidRPr="00000000" w14:paraId="0000000F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連絡人姓名及職稱：簡毅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 工程主辦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新北市中和區員山路471號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（02）2225-3299#715 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 傳真電話：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（02）2225-3408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  <w:hyperlink r:id="rId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AR2450@ntpc.gov</w:t>
              </w:r>
            </w:hyperlink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.tw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代辦機關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                    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統一編號：(廠商填寫)</w:t>
                </w:r>
              </w:sdtContent>
            </w:sdt>
          </w:p>
          <w:p w:rsidR="00000000" w:rsidDel="00000000" w:rsidP="00000000" w:rsidRDefault="00000000" w:rsidRPr="00000000" w14:paraId="0000001A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1B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1C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設計單位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單位名稱：杜風工程服務股份有限公司</w:t>
                </w:r>
              </w:sdtContent>
            </w:sdt>
          </w:p>
          <w:p w:rsidR="00000000" w:rsidDel="00000000" w:rsidP="00000000" w:rsidRDefault="00000000" w:rsidRPr="00000000" w14:paraId="00000023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統一編號：16373482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連絡地址：新北市淡水區中正東路2段27之7號17樓</w:t>
                </w:r>
              </w:sdtContent>
            </w:sdt>
          </w:p>
          <w:p w:rsidR="00000000" w:rsidDel="00000000" w:rsidP="00000000" w:rsidRDefault="00000000" w:rsidRPr="00000000" w14:paraId="00000025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連絡電話：（02）8809-8001      傳真電話：（02）8809-8005</w:t>
                </w:r>
              </w:sdtContent>
            </w:sdt>
          </w:p>
          <w:p w:rsidR="00000000" w:rsidDel="00000000" w:rsidP="00000000" w:rsidRDefault="00000000" w:rsidRPr="00000000" w14:paraId="00000026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E-mail：</w:t>
                </w:r>
              </w:sdtContent>
            </w:sdt>
            <w:hyperlink r:id="rId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dofind@dofind.com.tw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監造單位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單位名稱：杜風工程服務股份有限公司</w:t>
                </w:r>
              </w:sdtContent>
            </w:sdt>
          </w:p>
          <w:p w:rsidR="00000000" w:rsidDel="00000000" w:rsidP="00000000" w:rsidRDefault="00000000" w:rsidRPr="00000000" w14:paraId="0000002D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統一編號：16373482</w:t>
                </w:r>
              </w:sdtContent>
            </w:sdt>
          </w:p>
          <w:p w:rsidR="00000000" w:rsidDel="00000000" w:rsidP="00000000" w:rsidRDefault="00000000" w:rsidRPr="00000000" w14:paraId="0000002E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連絡地址：新北市淡水區中正東路2段27之7號17樓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連絡電話：（02）8809-8001      傳真電話：（02）8809-8005</w:t>
                </w:r>
              </w:sdtContent>
            </w:sdt>
          </w:p>
          <w:p w:rsidR="00000000" w:rsidDel="00000000" w:rsidP="00000000" w:rsidRDefault="00000000" w:rsidRPr="00000000" w14:paraId="00000030">
            <w:pPr>
              <w:spacing w:after="20" w:before="20" w:lineRule="auto"/>
              <w:jc w:val="both"/>
              <w:rPr>
                <w:b w:val="1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E-mail：dofind@dofind.com.tw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</w:t>
                </w:r>
              </w:sdtContent>
            </w:sdt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稻田營造有限公司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：86420277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</w:t>
                </w:r>
              </w:sdtContent>
            </w:sdt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：110台北市信義區嘉興街175巷2弄16號1樓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連絡電話：（02）2377-2280      傳真電話：（02）2378-1453</w:t>
                </w:r>
              </w:sdtContent>
            </w:sdt>
          </w:p>
          <w:p w:rsidR="00000000" w:rsidDel="00000000" w:rsidP="00000000" w:rsidRDefault="00000000" w:rsidRPr="00000000" w14:paraId="0000003A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  <w:hyperlink r:id="rId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paddywang86420277@gmail.com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分包單位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0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單位名稱：（施工單位之分包廠商名稱）                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統一編號：（廠商填寫）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43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44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專案管理單位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機關名稱：</w:t>
                </w:r>
              </w:sdtContent>
            </w:sdt>
          </w:p>
          <w:p w:rsidR="00000000" w:rsidDel="00000000" w:rsidP="00000000" w:rsidRDefault="00000000" w:rsidRPr="00000000" w14:paraId="0000004B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統一編號：(廠商填寫)</w:t>
                </w:r>
              </w:sdtContent>
            </w:sdt>
          </w:p>
          <w:p w:rsidR="00000000" w:rsidDel="00000000" w:rsidP="00000000" w:rsidRDefault="00000000" w:rsidRPr="00000000" w14:paraId="0000004C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連絡地址：</w:t>
                </w:r>
              </w:sdtContent>
            </w:sdt>
          </w:p>
          <w:p w:rsidR="00000000" w:rsidDel="00000000" w:rsidP="00000000" w:rsidRDefault="00000000" w:rsidRPr="00000000" w14:paraId="0000004D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連絡電話：（  ）               傳真電話：（  ）</w:t>
                </w:r>
              </w:sdtContent>
            </w:sdt>
          </w:p>
          <w:p w:rsidR="00000000" w:rsidDel="00000000" w:rsidP="00000000" w:rsidRDefault="00000000" w:rsidRPr="00000000" w14:paraId="0000004E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E-mail：</w:t>
                </w:r>
              </w:sdtContent>
            </w:sdt>
          </w:p>
        </w:tc>
      </w:tr>
      <w:tr>
        <w:trPr>
          <w:cantSplit w:val="1"/>
          <w:trHeight w:val="5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機關別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□中央  ■地方</w:t>
                </w:r>
              </w:sdtContent>
            </w:sdt>
          </w:p>
        </w:tc>
      </w:tr>
      <w:tr>
        <w:trPr>
          <w:cantSplit w:val="1"/>
          <w:trHeight w:val="2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工程類別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■土木類（□第一級 □第二級 ■第三級 □第四級 □第五級）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□水利類（□第一級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□建築類（□第一級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□設施類（□第一級 □第二級 □第三級 □第四級 □第五級）</w:t>
                </w:r>
              </w:sdtContent>
            </w:sdt>
          </w:p>
          <w:p w:rsidR="00000000" w:rsidDel="00000000" w:rsidP="00000000" w:rsidRDefault="00000000" w:rsidRPr="00000000" w14:paraId="0000005E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□軌道類（□第一級 □第二級 □第三級 □第四級 □第五級）</w:t>
                </w:r>
              </w:sdtContent>
            </w:sdt>
          </w:p>
        </w:tc>
      </w:tr>
      <w:tr>
        <w:trPr>
          <w:cantSplit w:val="1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工程名稱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新北市「美學示範基地」-以區域品牌化引導板橋府中人行環境工程-文化路、北門街、 西門街人行時空廊道改造工程</w:t>
                </w:r>
              </w:sdtContent>
            </w:sdt>
          </w:p>
        </w:tc>
      </w:tr>
      <w:tr>
        <w:trPr>
          <w:cantSplit w:val="1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48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施工地點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板橋區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工程契約金額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right"/>
              <w:rPr>
                <w:b w:val="1"/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69,178仟元</w:t>
                </w:r>
              </w:sdtContent>
            </w:sdt>
          </w:p>
        </w:tc>
      </w:tr>
      <w:tr>
        <w:trPr>
          <w:cantSplit w:val="1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工程內容</w:t>
                </w:r>
              </w:sdtContent>
            </w:sdt>
          </w:p>
          <w:p w:rsidR="00000000" w:rsidDel="00000000" w:rsidP="00000000" w:rsidRDefault="00000000" w:rsidRPr="00000000" w14:paraId="00000070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（工程概述、期程）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ind w:firstLine="440"/>
              <w:rPr>
                <w:sz w:val="22"/>
                <w:szCs w:val="22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板橋區於舊時原為「枋橋古城」所在，現今則係新北市政府機關座落處，隨鐵路地下化後，新城區日新月異地發展，形成獨特「新、舊城區交融」景象。故市政府以此契機打造『新北市美學基地』，即『府中雙城』計畫，以各種美學融入人行環境的手法，形塑「古城區」-「融合區」-「新城區」的廊道意象，創造區域品牌及城市特性。</w:t>
                </w:r>
              </w:sdtContent>
            </w:sdt>
          </w:p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    本案屬於上述『府中雙城』計畫之一，位於「融合區」行至「古城區」之重要軸線，且為最關鍵路段，人行及景觀依計畫理念以灰紅漸層鋪面表達時空轉變；並運用人本環境打通、通學廊道改善、電箱纜線清整三大手法融合美學進行改造！改造後隨著沿線重要結點(含兩處較大廣場)塑造由新城進入古城的時空廊道感受，引人入勝。改善後同時為寬敞、舒適、具觀光效益的人行、通勤、通學步道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案人行道改善共約1,700M，路面改善約960M，工程範圍中涵蓋板橋高中及板橋國小，包含改善2處廣場、遷移路樹42棵、以及協調電力公司將阻礙通行之6座平面電箱及4座高架變電箱平面化整併於設施帶，使成完整的人本無障礙區塊！</w:t>
                </w:r>
              </w:sdtContent>
            </w:sdt>
          </w:p>
          <w:p w:rsidR="00000000" w:rsidDel="00000000" w:rsidP="00000000" w:rsidRDefault="00000000" w:rsidRPr="00000000" w14:paraId="00000074">
            <w:pPr>
              <w:spacing w:after="60" w:before="60" w:lineRule="auto"/>
              <w:ind w:firstLine="406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工程於110年7月17日開工，已於111年2月16日完工，工期215日曆天。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推薦時預定施工進度</w:t>
                </w:r>
              </w:sdtContent>
            </w:sdt>
          </w:p>
          <w:p w:rsidR="00000000" w:rsidDel="00000000" w:rsidP="00000000" w:rsidRDefault="00000000" w:rsidRPr="00000000" w14:paraId="0000007A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（111年08月26日）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 100      %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推薦時實際施工進度</w:t>
                </w:r>
              </w:sdtContent>
            </w:sdt>
          </w:p>
          <w:p w:rsidR="00000000" w:rsidDel="00000000" w:rsidP="00000000" w:rsidRDefault="00000000" w:rsidRPr="00000000" w14:paraId="0000007E">
            <w:pPr>
              <w:spacing w:line="48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（111年08月26日）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100      %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="30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查核機關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新北市政府</w:t>
                </w:r>
              </w:sdtContent>
            </w:sdt>
          </w:p>
        </w:tc>
      </w:tr>
      <w:tr>
        <w:trPr>
          <w:cantSplit w:val="0"/>
          <w:trHeight w:val="7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歷次查核日期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110年11月23日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歷次查核分數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right"/>
              <w:rPr>
                <w:b w:val="1"/>
                <w:color w:val="00000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85分</w:t>
                </w:r>
              </w:sdtContent>
            </w:sdt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遭遇困難問題之解決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E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1.案內位於舊城區的北門街民生管線埋設極久，與圖資不符且淺埋，且因數量多、交接複雜。會勘檢討後，由本案統一改管並保護管線50處。</w:t>
                </w:r>
              </w:sdtContent>
            </w:sdt>
          </w:p>
          <w:p w:rsidR="00000000" w:rsidDel="00000000" w:rsidP="00000000" w:rsidRDefault="00000000" w:rsidRPr="00000000" w14:paraId="0000008F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2.文化路原路邊水溝一側溝壁位於人行道下箱涵旁，原交界處施作不良、破裂嚴重。經會勘並作排水檢討，改建新水溝長300M。</w:t>
                </w:r>
              </w:sdtContent>
            </w:sdt>
          </w:p>
          <w:p w:rsidR="00000000" w:rsidDel="00000000" w:rsidP="00000000" w:rsidRDefault="00000000" w:rsidRPr="00000000" w14:paraId="00000090">
            <w:pPr>
              <w:spacing w:line="480" w:lineRule="auto"/>
              <w:ind w:left="180" w:hanging="180"/>
              <w:jc w:val="both"/>
              <w:rPr>
                <w:b w:val="1"/>
                <w:color w:val="00000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3.局部路段人行道下民生管線管障過多，預埋管道無法施作。經會勘檢討將由大口徑改為多支小口徑的管道，克服管障順利施作。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工地安全衛生管理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6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1.施工中民眾、學生通行安全：(1)工區以護欄阻隔、(2)施工區段均有留設寬度1M人行安全通道。(3)全時段有交通維持人員引導交通。(4)上下學時段協助學校導護引導、保護學生安全。</w:t>
                </w:r>
              </w:sdtContent>
            </w:sdt>
          </w:p>
          <w:p w:rsidR="00000000" w:rsidDel="00000000" w:rsidP="00000000" w:rsidRDefault="00000000" w:rsidRPr="00000000" w14:paraId="00000097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2.施工中與鄰地、鄰宅(學校)之防護：(1)護欄及乙種圍籬阻隔、(2)帆布防塵、(3)調整施工時間、降低對學校教學影響。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3.施工中均定期清潔、灑水。</w:t>
                </w:r>
              </w:sdtContent>
            </w:sdt>
          </w:p>
          <w:p w:rsidR="00000000" w:rsidDel="00000000" w:rsidP="00000000" w:rsidRDefault="00000000" w:rsidRPr="00000000" w14:paraId="00000099">
            <w:pPr>
              <w:spacing w:line="480" w:lineRule="auto"/>
              <w:ind w:left="180" w:hanging="180"/>
              <w:jc w:val="both"/>
              <w:rPr>
                <w:b w:val="1"/>
                <w:color w:val="00000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4.疫情期間施工人員進出工地每日均有量測體溫、QR code實名登記。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生態環境維護之措施(包括自然生態工法)，屬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「公共工程生態檢核注意事項」第二點需辦理生態檢核之工程，需符合該注意事項第十二點及第十三點規定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F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1.施工及環境維護階段</w:t>
                </w:r>
              </w:sdtContent>
            </w:sdt>
          </w:p>
          <w:p w:rsidR="00000000" w:rsidDel="00000000" w:rsidP="00000000" w:rsidRDefault="00000000" w:rsidRPr="00000000" w14:paraId="000000A0">
            <w:pPr>
              <w:spacing w:line="480" w:lineRule="auto"/>
              <w:ind w:left="187" w:firstLine="0"/>
              <w:jc w:val="both"/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本案為學校周圍，採用低噪音設備並配合調整施工時間，皆無民怨且施工期間適時灑水，避免塵土飛揚</w:t>
                </w:r>
              </w:sdtContent>
            </w:sdt>
          </w:p>
          <w:p w:rsidR="00000000" w:rsidDel="00000000" w:rsidP="00000000" w:rsidRDefault="00000000" w:rsidRPr="00000000" w14:paraId="000000A1">
            <w:pPr>
              <w:spacing w:line="480" w:lineRule="auto"/>
              <w:ind w:left="180" w:hanging="180"/>
              <w:jc w:val="both"/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2.生態保育</w:t>
                </w:r>
              </w:sdtContent>
            </w:sdt>
          </w:p>
          <w:p w:rsidR="00000000" w:rsidDel="00000000" w:rsidP="00000000" w:rsidRDefault="00000000" w:rsidRPr="00000000" w14:paraId="000000A2">
            <w:pPr>
              <w:spacing w:line="480" w:lineRule="auto"/>
              <w:ind w:left="187" w:firstLine="0"/>
              <w:jc w:val="both"/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都市化城市採用「管底紙模大底及透水磚面層」、「複層長綠帶」及「雨水滲流井」三種工法，透水保水，熱島降温、淨化空氣，調節氣侯；其中複層植栽之喬木儘可能於案內遷移、局部新植，灌木則有新植蜜園性植物，可提供生物棲息、增加生態多樣性。</w:t>
                </w:r>
              </w:sdtContent>
            </w:sdt>
          </w:p>
          <w:p w:rsidR="00000000" w:rsidDel="00000000" w:rsidP="00000000" w:rsidRDefault="00000000" w:rsidRPr="00000000" w14:paraId="000000A3">
            <w:pPr>
              <w:spacing w:after="60" w:before="60" w:line="480" w:lineRule="auto"/>
              <w:jc w:val="both"/>
              <w:rPr>
                <w:b w:val="1"/>
                <w:color w:val="00000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3.本案有辦理生態檢核，並依其建議調整或新植樹木、灌木，同時施作透水鋪面。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工程之創新性、</w:t>
                </w:r>
              </w:sdtContent>
            </w:sdt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color w:val="00000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挑戰性及周延性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.符合「府中雙城」鋪面準則，「新城區」→「融合區」→「古城區」由灰色系漸變至紅色系，不同色系複雜的混色磚，仍整合規劃可以與路緣石整磚對縫，人行道上的無障礙化妝溝蓋亦能切齊磚縫，理想、美觀及日後維護同時達成。</w:t>
                </w:r>
              </w:sdtContent>
            </w:sdt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2.前後兩處廣場，運用擋土牆、座椅、電箱格柵的不同材質及鋪面色調變化，達成「現代風格」及「時空轉換」兩種意象，強化府中雙城感受。</w:t>
                </w:r>
              </w:sdtContent>
            </w:sdt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3.板橋高中、板橋國小前打造出寬敞、安全、舒適的通學步道外，並以屏障緣石工程手法，分隔出家長接送區及一般步行區，各行其道！</w:t>
                </w:r>
              </w:sdtContent>
            </w:sdt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4.運用路緣石、樹穴圍石高度，並配合人行橫坡調整，減低人行道與騎樓高差障礙；重新規劃汽機車停車，日後協調機車退出騎樓。</w:t>
                </w:r>
              </w:sdtContent>
            </w:sdt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5. 採用管式紙模大底的透水磚、複層長綠帶及滲流井等工法，透水保水，熱島降温，並增加生態多樣性。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※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工程優良事蹟</w:t>
                </w:r>
              </w:sdtContent>
            </w:sdt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color w:val="00000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及顯著效益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0B5">
            <w:pPr>
              <w:spacing w:line="240" w:lineRule="auto"/>
              <w:ind w:left="240" w:hanging="240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1.運用手法及技術，打造沿線結點間景觀漸層變化，達成時空廊道目標。具有觀光引導性、吸引民眾由新城至古城遊歷。</w:t>
                </w:r>
              </w:sdtContent>
            </w:sdt>
          </w:p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2.觀光步道同時為通勤、通學廊道，景觀、人本、安全兼具！</w:t>
                </w:r>
              </w:sdtContent>
            </w:sdt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3.打通障礙、紅色系鋪面的北門街成為古意盎然標誌性市街。</w:t>
                </w:r>
              </w:sdtContent>
            </w:sdt>
          </w:p>
        </w:tc>
      </w:tr>
      <w:tr>
        <w:trPr>
          <w:cantSplit w:val="1"/>
          <w:trHeight w:val="24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ff0000"/>
                <w:u w:val="singl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施工單位所屬其他工程(含公共工程及民間工程)於查核期程截止日前三年內，曾發生職業災害（死亡災害或三人以上罹災）情形逐項說明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ind w:left="1041" w:hanging="104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備註：1.機關名稱、單位名稱及工程名稱，請填正式名稱（不得為簡稱及簡體字）且與契約簽約名稱相符，如有變更請提佐證資料；若以開口契約子案推薦者，其工程名稱請填寫子案名稱，經費需占總工程契約金額百分之二十五以上，另該子案施工查核紀錄請專案於指定之資訊網路系統登錄。</w:t>
      </w:r>
    </w:p>
    <w:p w:rsidR="00000000" w:rsidDel="00000000" w:rsidP="00000000" w:rsidRDefault="00000000" w:rsidRPr="00000000" w14:paraId="000000C3">
      <w:pPr>
        <w:ind w:left="862" w:hanging="65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2.有「※」符號者為必填之欄位，如有漏填即不予列入評審。</w:t>
      </w:r>
    </w:p>
    <w:p w:rsidR="00000000" w:rsidDel="00000000" w:rsidP="00000000" w:rsidRDefault="00000000" w:rsidRPr="00000000" w14:paraId="000000C4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3.建築師事務所之統一編號請填寫負責人身分證字號。</w:t>
      </w:r>
    </w:p>
    <w:p w:rsidR="00000000" w:rsidDel="00000000" w:rsidP="00000000" w:rsidRDefault="00000000" w:rsidRPr="00000000" w14:paraId="000000C5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:rsidR="00000000" w:rsidDel="00000000" w:rsidP="00000000" w:rsidRDefault="00000000" w:rsidRPr="00000000" w14:paraId="000000C6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5.分包廠商需經機關同意始得推薦，且分包契約之報備應於主管機關推薦參選前完成。</w:t>
      </w:r>
    </w:p>
    <w:p w:rsidR="00000000" w:rsidDel="00000000" w:rsidP="00000000" w:rsidRDefault="00000000" w:rsidRPr="00000000" w14:paraId="000000C7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6.機關提報「公共工程金質獎」之公共工程品質優良獎，應完整填報欲推薦機關及單位（例如：共同承攬廠商、符合推薦資格之分包廠商…等）。本獎項之獎勵對象以推薦表之受推薦機關及單位為限。</w:t>
      </w:r>
    </w:p>
    <w:p w:rsidR="00000000" w:rsidDel="00000000" w:rsidP="00000000" w:rsidRDefault="00000000" w:rsidRPr="00000000" w14:paraId="000000C8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7.若推薦參選工程於履約期間有辦理變更契約、增減契約金額，則推薦級別以推薦當時之契約金額認定。</w:t>
      </w:r>
    </w:p>
    <w:p w:rsidR="00000000" w:rsidDel="00000000" w:rsidP="00000000" w:rsidRDefault="00000000" w:rsidRPr="00000000" w14:paraId="000000C9">
      <w:pPr>
        <w:ind w:left="1088" w:hanging="291.0000000000001"/>
        <w:jc w:val="both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6"/>
          <w:szCs w:val="26"/>
          <w:rtl w:val="0"/>
        </w:rPr>
        <w:t xml:space="preserve">8.若以財物採購兼有工程性質推薦者，其工程名稱請填寫該案工程之名稱，該案相關資料及施工查核紀錄請登載至公共工程標案管理糸統。</w:t>
      </w:r>
    </w:p>
    <w:p w:rsidR="00000000" w:rsidDel="00000000" w:rsidP="00000000" w:rsidRDefault="00000000" w:rsidRPr="00000000" w14:paraId="000000CA">
      <w:pPr>
        <w:widowControl w:val="1"/>
        <w:spacing w:line="240" w:lineRule="auto"/>
        <w:rPr>
          <w:rFonts w:ascii="DFKai-SB" w:cs="DFKai-SB" w:eastAsia="DFKai-SB" w:hAnsi="DFKai-SB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6838" w:w="11906" w:orient="portrait"/>
      <w:pgMar w:bottom="720" w:top="567" w:left="1230" w:right="1230" w:header="851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  <w:font w:name="Times New Roman"/>
  <w:font w:name="華康仿宋體W4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sdt>
      <w:sdtPr>
        <w:tag w:val="goog_rdk_116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附1-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華康仿宋體W4" w:cs="華康仿宋體W4" w:eastAsia="華康仿宋體W4" w:hAnsi="華康仿宋體W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新細明體" w:hAnsi="Times New Roman"/>
      <w:kern w:val="0"/>
      <w:szCs w:val="20"/>
    </w:rPr>
  </w:style>
  <w:style w:type="paragraph" w:styleId="1">
    <w:name w:val="heading 1"/>
    <w:basedOn w:val="a"/>
    <w:next w:val="a"/>
    <w:link w:val="10"/>
    <w:qFormat w:val="1"/>
    <w:rsid w:val="00996100"/>
    <w:pPr>
      <w:keepNext w:val="1"/>
      <w:suppressAutoHyphens w:val="1"/>
      <w:autoSpaceDN w:val="0"/>
      <w:adjustRightInd w:val="1"/>
      <w:spacing w:after="180" w:before="180" w:line="720" w:lineRule="auto"/>
      <w:outlineLvl w:val="0"/>
    </w:pPr>
    <w:rPr>
      <w:rFonts w:ascii="華康仿宋體W4" w:cs="華康仿宋體W4" w:eastAsia="華康仿宋體W4" w:hAnsi="華康仿宋體W4"/>
      <w:kern w:val="3"/>
      <w:sz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styleId="a4" w:customStyle="1">
    <w:name w:val="本文縮排 字元"/>
    <w:basedOn w:val="a0"/>
    <w:link w:val="a3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styleId="20" w:customStyle="1">
    <w:name w:val="本文縮排 2 字元"/>
    <w:basedOn w:val="a0"/>
    <w:link w:val="2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styleId="30" w:customStyle="1">
    <w:name w:val="本文縮排 3 字元"/>
    <w:basedOn w:val="a0"/>
    <w:link w:val="3"/>
    <w:rsid w:val="002E418B"/>
    <w:rPr>
      <w:rFonts w:ascii="全真楷書" w:cs="Times New Roman" w:eastAsia="全真楷書" w:hAnsi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basedOn w:val="a0"/>
    <w:link w:val="a5"/>
    <w:uiPriority w:val="99"/>
    <w:rsid w:val="002E418B"/>
    <w:rPr>
      <w:rFonts w:ascii="Times New Roman" w:cs="Times New Roman" w:eastAsia="新細明體" w:hAnsi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styleId="a9" w:customStyle="1">
    <w:name w:val="本文 字元"/>
    <w:basedOn w:val="a0"/>
    <w:link w:val="a8"/>
    <w:rsid w:val="002E418B"/>
    <w:rPr>
      <w:rFonts w:ascii="標楷體" w:cs="Times New Roman" w:eastAsia="標楷體" w:hAnsi="Times New Roman"/>
      <w:kern w:val="0"/>
      <w:szCs w:val="20"/>
    </w:rPr>
  </w:style>
  <w:style w:type="paragraph" w:styleId="aa">
    <w:name w:val="Block Text"/>
    <w:basedOn w:val="a"/>
    <w:rsid w:val="002E418B"/>
    <w:pPr>
      <w:adjustRightInd w:val="1"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styleId="32" w:customStyle="1">
    <w:name w:val="本文 3 字元"/>
    <w:basedOn w:val="a0"/>
    <w:link w:val="31"/>
    <w:rsid w:val="002E418B"/>
    <w:rPr>
      <w:rFonts w:ascii="Times New Roman" w:cs="Times New Roman" w:eastAsia="新細明體" w:hAnsi="Times New Roman"/>
      <w:kern w:val="0"/>
      <w:sz w:val="16"/>
      <w:szCs w:val="16"/>
    </w:rPr>
  </w:style>
  <w:style w:type="paragraph" w:styleId="11" w:customStyle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styleId="ac" w:customStyle="1">
    <w:name w:val="註釋標題 字元"/>
    <w:basedOn w:val="a0"/>
    <w:link w:val="ab"/>
    <w:rsid w:val="009554F3"/>
    <w:rPr>
      <w:rFonts w:ascii="標楷體" w:cs="Times New Roman" w:eastAsia="標楷體" w:hAnsi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 w:val="1"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 w:customStyle="1">
    <w:name w:val="頁首 字元"/>
    <w:basedOn w:val="a0"/>
    <w:link w:val="ad"/>
    <w:uiPriority w:val="99"/>
    <w:rsid w:val="009554F3"/>
    <w:rPr>
      <w:rFonts w:ascii="Times New Roman" w:cs="Times New Roman" w:eastAsia="新細明體" w:hAnsi="Times New Roman"/>
      <w:kern w:val="0"/>
      <w:sz w:val="20"/>
      <w:szCs w:val="20"/>
    </w:rPr>
  </w:style>
  <w:style w:type="paragraph" w:styleId="af">
    <w:name w:val="List Paragraph"/>
    <w:basedOn w:val="a"/>
    <w:qFormat w:val="1"/>
    <w:rsid w:val="00DD7BE5"/>
    <w:pPr>
      <w:ind w:left="480" w:leftChars="200"/>
    </w:pPr>
  </w:style>
  <w:style w:type="paragraph" w:styleId="af0">
    <w:name w:val="Balloon Text"/>
    <w:basedOn w:val="a"/>
    <w:link w:val="af1"/>
    <w:uiPriority w:val="99"/>
    <w:semiHidden w:val="1"/>
    <w:unhideWhenUsed w:val="1"/>
    <w:rsid w:val="00F50382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1" w:customStyle="1">
    <w:name w:val="註解方塊文字 字元"/>
    <w:basedOn w:val="a0"/>
    <w:link w:val="af0"/>
    <w:uiPriority w:val="99"/>
    <w:semiHidden w:val="1"/>
    <w:rsid w:val="00F50382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21" w:customStyle="1">
    <w:name w:val="純文字2"/>
    <w:basedOn w:val="a"/>
    <w:rsid w:val="00A23696"/>
    <w:pPr>
      <w:spacing w:line="240" w:lineRule="auto"/>
    </w:pPr>
    <w:rPr>
      <w:rFonts w:ascii="細明體" w:eastAsia="細明體" w:hAnsi="Courier New"/>
      <w:kern w:val="2"/>
    </w:rPr>
  </w:style>
  <w:style w:type="character" w:styleId="af2">
    <w:name w:val="Hyperlink"/>
    <w:rsid w:val="00814F64"/>
    <w:rPr>
      <w:color w:val="0000ff"/>
      <w:u w:val="single"/>
    </w:rPr>
  </w:style>
  <w:style w:type="paragraph" w:styleId="Textbody" w:customStyle="1">
    <w:name w:val="Text body"/>
    <w:basedOn w:val="a"/>
    <w:rsid w:val="0024648F"/>
    <w:pPr>
      <w:suppressAutoHyphens w:val="1"/>
      <w:autoSpaceDN w:val="0"/>
      <w:adjustRightInd w:val="1"/>
      <w:spacing w:after="140" w:line="276" w:lineRule="auto"/>
    </w:pPr>
    <w:rPr>
      <w:rFonts w:eastAsia="新細明體, PMingLiU"/>
      <w:kern w:val="3"/>
      <w:szCs w:val="24"/>
    </w:rPr>
  </w:style>
  <w:style w:type="character" w:styleId="10" w:customStyle="1">
    <w:name w:val="標題 1 字元"/>
    <w:basedOn w:val="a0"/>
    <w:link w:val="1"/>
    <w:rsid w:val="00996100"/>
    <w:rPr>
      <w:rFonts w:ascii="華康仿宋體W4" w:cs="華康仿宋體W4" w:eastAsia="華康仿宋體W4" w:hAnsi="華康仿宋體W4"/>
      <w:kern w:val="3"/>
      <w:sz w:val="32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mailto:paddywang86420277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R2450@ntpc.gov" TargetMode="External"/><Relationship Id="rId8" Type="http://schemas.openxmlformats.org/officeDocument/2006/relationships/hyperlink" Target="mailto:dofind@dofind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pZwxjI8Z720IitKPMLQMc9xYg==">AMUW2mWmzFmDRxD06sl/HyYjddojCzudMWdEEyxnq4baBgyX/4Wm/OQqUTXv89vi1opP/pYCqvWqVxZje0kixl/9fuIhLzfWJF8fmKdVNGUnFHlrpq3qA7MOQiIpJIO/xF1uUY61sl4qDKKj/DepUHdu5rURsBn/8YXHSBjYWrqt83PiSlUng4ro3XUvaWvD2VGf3cnD14+0nhCz9UYuLTf4Szoa0cuYBOPMM2Bm2JZJ+ye2b4z9gY+akAHsqdkW0ceTa6woak6YlbSyPSg1/sVf4wAluvv/pmMZj1IBolp1geSQF6TTvlsRLqobclLcP1ccA+j2BurLVARiewkHOgyTMcyl6zaZzCAzye43FUDscOXtNcuNHcjS2iEK1fGWX/1BVr993wYUpz2bp9dgA8urFL3bNErhOLF5rzA7HH2jQ4gv/XezB51y9BsGwumr3Dbr/FDVA+dkgDtQtNZG3RhHN+gPcuj2he4r/NHDW6KeZdtwXgJiktbbQGzpyr8utJphLpkP1HxlsHuMYVmX7x5K5UH/EJnkRE9Hg/dtsXl0PNbTS/wDItoKDZwLypQcUIqvGhSMu6tYgiPiuXmMTfwnaWmeC6yKjzzNYkt5ZoIuS6TKjdQAgyFJJ523Peaha4u+hatZl56gCRkEKNvE6mWsA3w49wW8mHlkIvIHOWIxWryavoXoSNFxDGAMtW2wmLKnFoDoih1T9GSF+PiIHAutcGaBY1faamRGQ9MT4ANHFyNtS7no2wghzq6PR5x3YBcmUkre83Zn4fgEEV6hLJ8OalwO/3iYT1m1F2gF767exSLK7X8cPSZuWgXXKAt7CEL8rhnVwigvL5yNKjw2nCViZU7B4SzRkyLsCAg6FmhbLe99qa1grR0cQmGNLoh8QbkJUlsmCIK8Q0e2MajAxLugKzbfRYkyef7n419aOxVaMQcQNhKLR5tFhnO9F23XRnYE+crZ+mtHNqyVHhgnFHnw2sd5ERP/72jzGZbQlOntblQOjKfUdGyK0LjuZbX5KmDXeo+B28HBLIayXQdjN5hpe5mvYETnHK98ODxU0pM0scM9w/WhzRJbmsYGz9I9GAd8nP62T6P5+wZZLamBc+znd/z3JtK8ALZwyoA3+AumOgqU6pi3MHwZDPcMqOE+Cp8sA2lRxfjOSPWfLlErbxz8oov0CC+JpCUs/I3fWCfRFS/6QXjWyWVbkuFg2DAYM4bz5tZ8vDsRiXI3XioyQ1Ee3lmd5YDK9NjjqGFySKJQixM5wPi9gA3vFGYHwOZjOBAThAkZsI6ly1dtNFpKZtD3k2nwSFhy+vGDw8X/86NcpB3M8UVgsQ0MNWmfq0uEV9KqGSAwC6FLwxugpOs0MYuaR8KqneP4gHQgf3y0KmFKmu8E4rCv0vlk66sD23IBLzeFsOzzSBhASGFmPcOUhrmTJzicX4cY21upCNT/rheclQGkK7Qz6QkOSDSKbgcf91LqizpzQO7ADL3oE3XDyz0EY9A9rwY7x0mdS4DTwA7VcltaiKnGj4W9e27TZreBS6pt5FJ8yM7CHgFdvoH5HRCFQllox8LdNaA2lP7eWyAz26ADx9UCZCigP9chGNmBrG5774sWUPhZIFuU77M4rs3Ok3PgGMKPccI4SnH3n2B3vW1tx3zvT8+OkYfJtSWJA+sBXNCpK44oVokCYrpYX9tV0OhG6svPCsevXZ3lVFA4LF8dOI0YChRURpinzNgRUlbbH9fF3vlPUXtsFYQQrjPzuSRZzvcQqWitShzb3POC/b499qvkNw7xmF2eAAaOEl5/f60Y4kPu6OCiCGFdsafxlYm2qo/nA12qBHwTVVfQvG6nOyf7KebplyqWqEr6X3Jga/Ojad1mm2/B9vZs16R3T8ANZm552nVZZRa29via5iskHGExgFo0oOhxMsRDImUSGLlnwkTAD2N5Kw5X305BLN0GejLhaPTkg20Y8Aes1nNj3XkT+j513sRKUFAyhiEgdfkOWrZjPF++DETfD5CWc2JcALyrkq/oK87YbPpSEXXD/2kWWChN8RnsW1L36VLN1PtLnDFfcTNgN6YqW3oe1JtDao7tJ8xIdaE18aidlZg5/ad6On16BOVY2c49m8WB2zC4OpanVEdiMAybmQjnBVYkRuNOOLFhKV8hQ15NSArpPTac7c4QuNjf+KnT3eNo1IUpddnlgdN/QH0YR87HFMxE/VN96+vfrwOaya6tTYZUBsnpHQWdKtANH6ptZ8jDXqLJ0FHBUBThhYVc+BUd2z0YCGG/vsCX9LsITEvhhroZ8ddWdalqU01DY2HnrnMkmgkYg0SHzfMQkjexrPaDqhr3EBdWRCAXK2AgROnnr5OgUUsEoxM27Ph5rMhQz+knhED/PgbvyCBRSSwcNHpaC4dSD+3Elid3kcB7vriS+Luvtp3d/DZ5S6Rdh+GetE++/9Ijn5dHme7kP3ZVJFga0PRttXw0a/ub5IrmCcEFbb9OZN9t5LAw4VkM1xf6nSkVMKtK4ezxb8u2+PxotgtU4tqiF+oJ+kmlxxtNm45oE+urkMd1L9XoP1eusMM9lBzrxvVHvpsmevIrl77Qqu0lXZ8RzMu+SAz3+qznu1gMkdC84RvTslMwTNJkEZckHY0AcJ8IhpGzVxptq1Wx0qhUzIIBj6fcZBfOH8U7NuDpvCHvJ2ttbg2mFqtlF4CHJl6BjN5xiTngBwrkvrJYBp+WUmefcfnTa5HXlCQxqR7stccedIKfcx5byFnoJQ4CNJ4vjn2GX4LjsaeZSxpi+KDrcTMo+uqQO0JkcXujHCjYdOGOeGL9Daa2K5xEiiCmRNWG5GLcIIgPJz0bHUU1rMnCl1MUJ5MUBZxypuDFo3Sxl8HTNmgco6ubiYaLg+1wWP7Yk+BRaX/u5DZgJ7Fs0C4yFwH3AW2392/nMDFVE2g4ps+t1P77mqPZ+LcoIiTSrxLpI8Icauh5X5dozFy3vSDGmQJiwuqU/Kf4Yk/XI/FyfcB4fm2RZ3RcFgkIoiTGiExxdcW58sc6AHjxrSMaz+8ubglxxYxqg9TOUKGa0pgV97vQ86Oqh660ZQ6bMGi9xCKEuJW75BUdedjTtzVjxio29DcR+02vSajxjoZ7g2K6LriymaMe3qUTuuseoZGlYNrSfc+PSxLmYmYs5mdPvdnFu4SOWDWU/K4ASXbQmIYpXv2Wnh3PGEQ/yWrqjii6P9EbFuRXEVPwFcOSlf7QAcFDpOQ9LL/J7BOWtWn0eyip2P0wG/q/S2v1mWtc1+9Zk1N61CYUgmobmbsgR1OF9eox8QHH5Q2HgtA4JzA8XYTwJhuM1V6yRlgywpmfo4RIYXLUsxZ5m6DMf+l6QhURL8zunpByNM2UX1ELujg171XJ5Wyhp4kZlk8Q+D2NshYCP2rUOJ9nd8M0TghpV/jyGujftdN3DVP+aPC0jCPVYiYBYQ3BVewAQCXXmUhXJVY3u3N8N0+krk5u3ctms40EsVPu/v0fTaxzKRPkn3N+4bNCfNoWo+LOuDCrAjscpaVljuIQlU7SMq7iO+IV9DQZEc5nRPQOOlJUnpd7OJtiLGWcZsq/55smN4n+yW/1gT+fYS0Tt+lRp7LAUsGdy4hHJCOTdauQoKquBQAY748WjVLJdUmkJe8/Yk1WyibQVjyDAXzLggv81V6oQs8gm5m4aQahrjeeT2IS9Uq92Yyg4bZ9Br4eWNrv/FSStbfllAy736hxtplUg7T3/+Vpj32qXrp8jyRAHwSpSmSimT/ap2gH/j7Hog9WmS67hpehtfag4OhUfItSmhzGXPIBxiWwaY4p4qqY0FpmjARnO/KupL1fAkmR7W/5VZX7OKp3zddV3KlAThPKSx748ZA6HXodYScqoXgn8/n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2022-09-29T08:03:00Z</dcterms:created>
  <dc:creator>2186</dc:creator>
</cp:coreProperties>
</file>